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XVIII Congreso Argentino de Acústica 2023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Reglamento para el envío de trabajos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presente documento suministra la información necesaria para el envío de trabajos para el XVIII Congreso Argentino de Acústica 2023.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 importante tener en cuenta que la presentación de trabajos no exime a los participantes de realizar la inscripción al congreso y abonar la tarifa correspondiente.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color w:val="c00000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 xml:space="preserve">PRESENTACIÓN DE RESÚMENES: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continuación se detalla el procedimiento que deben seguir todas las personas interesadas en presentar trabajos en el XVIII Congreso Argentino de Acústica, ya sea en formato de presentación oral o mediante posters.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solicita a los interesados enviar un resumen de su trabajo. El resumen debe tener una extensión máxima de 200 palabras. Para hacerlo, se debe acceder al </w:t>
      </w:r>
      <w:r w:rsidDel="00000000" w:rsidR="00000000" w:rsidRPr="00000000">
        <w:rPr>
          <w:rFonts w:ascii="Arial" w:cs="Arial" w:eastAsia="Arial" w:hAnsi="Arial"/>
          <w:rtl w:val="0"/>
        </w:rPr>
        <w:t xml:space="preserve">enlace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específico designado para la recepción de resúmenes.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envío del resumen deberá llevarse a cabo antes de la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"Fecha límite para presentación de resúmenes"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la cual será anunciada en la página web oficial del congreso. Es importante tener en cuenta que no se aceptarán trabajos recibidos después de dicha fecha.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aprobación y aceptación de los trabajos estarán sujetas a dos criterios principales: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a) Pertinencia del trabajo a las temáticas del congreso: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trabajos deberán estar relacionados con los diversos aspectos de la acústica y sus aplicaciones, en concordancia con las áreas de interés establecidas por el comité organizador del congreso.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b) Claridad, concisión y corrección técnica: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El resumen enviado deberá ser claro, conciso y estar redactado de manera técnica correcta. Se valorará la capacidad de comunicación efectiva del autor para describir de manera precisa los aspectos más relevantes de su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Una vez que el resumen sea recibido, el comité organizador del congreso llevará a cabo la evaluación y selección de los trabajos. Durante el mes de octubre, se enviará por correo electrónico la notificación de aceptación de los resúmenes.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Antes del inicio del congreso, los participantes deberán haber abonado la inscripción correspondiente para poder presentar sus trabajos.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Áreas de interés establecidas por el comité organizador del congreso: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4820"/>
        <w:tblGridChange w:id="0">
          <w:tblGrid>
            <w:gridCol w:w="4678"/>
            <w:gridCol w:w="4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AA: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Acústica Arquitectónica y de Salas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AAyRC: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Acústica Ambiental, Ruido Comunitario 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AB: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Biomédica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AC: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de la comunicación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AEyV: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Estructural y Vibraciones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AF: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Física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AFo: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Forense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AM: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Musical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Oceanográfica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APyF: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Psicológica y Fisiológica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AR: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Ruido: Fuentes y su Control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Subacuática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AV: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Acústica 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AVyCH: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Acústica de la voz, Comunicación hablada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Bioacústica Animal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Educación en Acústica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EA e IA: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Electroacústica e Ingeniería de Audio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Música y Tecnología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OT: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Otros Temas (temas no listados)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Procesamiento de Señales en Acústica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PaSo: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Paisaje sonoro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TN: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Técnicas numéricas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Ultrasonido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el caso de no existiere una clasificación adecuada, podrá sugerirse, quedando su aprobación a consideración del Comité Organizador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b w:val="1"/>
          <w:color w:val="c00000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 xml:space="preserve">PRESENTACIÓN DE TRABAJOS COMPLETOS - Plazos y Formatos: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b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participantes cuyos resúmenes hayan sido aprobados y deseen publicar un trabajo completo en las actas del congreso deberán enviar el trabajo completo por correo electrónico a la dirección [correo electrónico del comité organizador] antes de la "Fecha límite para presentación de trabajos completos", la cual será publicada en la página web oficial del congreso. Se deberán enviar los siguientes elementos: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presentar el trabajo completo, deberá prepararse en una de las siguientes versiones: PDF, Microsoft Word o LibreOffice. Es necesario seguir el estilo de la plantilla proporcionada, la cual puede descargarse desde la página web del congreso a través del siguiente enlace (colocar el enlace correspondiente).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archivos del trabajo pueden incluir fotografías, gráficos monocromos o en colores, tablas y ejemplos de audio, siempre y cuando el tamaño total de los archivos no supere los 12 Mb. Es importante asegurarse de cumplir con esta restricción.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 trabajo completo deberá incluir un resumen, el cual puede diferir del resumen originalmente enviado, siempre y cuando no haya cambios esenciales en el contenido.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recomienda revisar cuidadosamente las instrucciones proporcionadas en la plantilla descargada desde la página web del congreso para garantizar la correcta preparación y presentación del trabajo completo.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00040" cy="584456"/>
          <wp:effectExtent b="0" l="0" r="0" t="0"/>
          <wp:docPr descr="C:\Users\mbada.UNQ\Downloads\sassfdaf.png" id="4" name="image1.png"/>
          <a:graphic>
            <a:graphicData uri="http://schemas.openxmlformats.org/drawingml/2006/picture">
              <pic:pic>
                <pic:nvPicPr>
                  <pic:cNvPr descr="C:\Users\mbada.UNQ\Downloads\sassfdaf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5844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76200</wp:posOffset>
              </wp:positionV>
              <wp:extent cx="5635625" cy="444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540888" y="3770475"/>
                        <a:ext cx="5610225" cy="19050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76200</wp:posOffset>
              </wp:positionV>
              <wp:extent cx="5635625" cy="4445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5625" cy="44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37AC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E5B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8E46D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E46DF"/>
  </w:style>
  <w:style w:type="paragraph" w:styleId="Piedepgina">
    <w:name w:val="footer"/>
    <w:basedOn w:val="Normal"/>
    <w:link w:val="PiedepginaCar"/>
    <w:uiPriority w:val="99"/>
    <w:unhideWhenUsed w:val="1"/>
    <w:rsid w:val="008E46D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E46DF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E46D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E46DF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8E46D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8E46D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8XU0DLC15m6mJIR44K1psTNqdw==">CgMxLjAyCGguZ2pkZ3hzOAByITFOQ093S3d6UWVja1NDb01VSUtVbF9NYjl5TkxTT1d1Zw==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2023-06-07T13:54:00Z</dcterms:created>
  <dc:creator>mbada</dc:creator>
</cp:coreProperties>
</file>