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Departamento de Ciencias Sociales</w:t>
      </w: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Programa Regular – Cursos Presenciales</w:t>
      </w:r>
    </w:p>
    <w:p w:rsidR="008D243D" w:rsidRPr="00F46D5E" w:rsidRDefault="008D243D" w:rsidP="00F4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Año: </w:t>
      </w:r>
      <w:r w:rsidRPr="00F46D5E">
        <w:rPr>
          <w:rFonts w:ascii="Arial" w:hAnsi="Arial" w:cs="Arial"/>
        </w:rPr>
        <w:t>201</w:t>
      </w:r>
      <w:r w:rsidR="0074013B" w:rsidRPr="00F46D5E">
        <w:rPr>
          <w:rFonts w:ascii="Arial" w:hAnsi="Arial" w:cs="Arial"/>
        </w:rPr>
        <w:t>7</w:t>
      </w:r>
    </w:p>
    <w:p w:rsidR="008C4B0A" w:rsidRPr="00F46D5E" w:rsidRDefault="004C19EF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 xml:space="preserve">Curso: Comprensión y Producción de Textos </w:t>
      </w:r>
      <w:r w:rsidR="0074013B" w:rsidRPr="00F46D5E">
        <w:rPr>
          <w:rFonts w:ascii="Arial" w:hAnsi="Arial" w:cs="Arial"/>
          <w:b/>
          <w:bCs/>
        </w:rPr>
        <w:t>en</w:t>
      </w:r>
      <w:r w:rsidRPr="00F46D5E">
        <w:rPr>
          <w:rFonts w:ascii="Arial" w:hAnsi="Arial" w:cs="Arial"/>
          <w:b/>
          <w:bCs/>
        </w:rPr>
        <w:t xml:space="preserve"> Ciencias Sociales y Humanidades</w:t>
      </w:r>
    </w:p>
    <w:p w:rsidR="0074013B" w:rsidRPr="00F46D5E" w:rsidRDefault="0074013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14251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Profesor</w:t>
      </w:r>
      <w:r w:rsidR="0074013B" w:rsidRPr="00F46D5E">
        <w:rPr>
          <w:rFonts w:ascii="Arial" w:hAnsi="Arial" w:cs="Arial"/>
          <w:b/>
          <w:bCs/>
        </w:rPr>
        <w:t>es</w:t>
      </w:r>
      <w:r w:rsidRPr="00F46D5E">
        <w:rPr>
          <w:rFonts w:ascii="Arial" w:hAnsi="Arial" w:cs="Arial"/>
          <w:b/>
          <w:bCs/>
        </w:rPr>
        <w:t xml:space="preserve">: </w:t>
      </w:r>
    </w:p>
    <w:p w:rsidR="0074013B" w:rsidRPr="00F46D5E" w:rsidRDefault="0074013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EIRAS, Manuel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FAVA, Vanina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GARCÍA CEDRO, Gabriela</w:t>
      </w:r>
    </w:p>
    <w:p w:rsidR="0074013B" w:rsidRPr="00F46D5E" w:rsidRDefault="0074013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LÓPEZ, Virginia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MANCHINI, Néstor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MAKADSJIAN, María Rosa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MOGABURO, Yanel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NIETO, Estrella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SALVINI, Gabriela</w:t>
      </w:r>
    </w:p>
    <w:p w:rsidR="00BB3294" w:rsidRPr="00F46D5E" w:rsidRDefault="0074013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Cs/>
        </w:rPr>
        <w:t>SCHINCA, Ximena</w:t>
      </w:r>
    </w:p>
    <w:p w:rsidR="0074013B" w:rsidRPr="00F46D5E" w:rsidRDefault="0074013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Coordinadora:</w:t>
      </w:r>
      <w:r w:rsidR="00F46D5E" w:rsidRPr="00F46D5E">
        <w:rPr>
          <w:rFonts w:ascii="Arial" w:hAnsi="Arial" w:cs="Arial"/>
          <w:bCs/>
        </w:rPr>
        <w:t xml:space="preserve"> </w:t>
      </w:r>
      <w:r w:rsidRPr="00F46D5E">
        <w:rPr>
          <w:rFonts w:ascii="Arial" w:hAnsi="Arial" w:cs="Arial"/>
          <w:bCs/>
        </w:rPr>
        <w:t>SWARINSKY, Mónica</w:t>
      </w:r>
    </w:p>
    <w:p w:rsidR="00BB3294" w:rsidRPr="00F46D5E" w:rsidRDefault="00BB3294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Carga horaria semanal: </w:t>
      </w:r>
      <w:r w:rsidRPr="00F46D5E">
        <w:rPr>
          <w:rFonts w:ascii="Arial" w:hAnsi="Arial" w:cs="Arial"/>
        </w:rPr>
        <w:t>4 horas áulicas y 1 hora extra-áulica</w:t>
      </w:r>
    </w:p>
    <w:p w:rsidR="0074013B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Horas de consulta extra clase:</w:t>
      </w:r>
      <w:r w:rsidR="00295614">
        <w:rPr>
          <w:rFonts w:ascii="Arial" w:hAnsi="Arial" w:cs="Arial"/>
          <w:b/>
          <w:bCs/>
        </w:rPr>
        <w:t xml:space="preserve"> </w:t>
      </w:r>
      <w:r w:rsidR="0074013B" w:rsidRPr="00F46D5E">
        <w:rPr>
          <w:rFonts w:ascii="Arial" w:hAnsi="Arial" w:cs="Arial"/>
          <w:bCs/>
        </w:rPr>
        <w:t>cada docente dictará una hora de consulta extra-clase para cubrir todas las franjas horarias y sedes.</w:t>
      </w:r>
    </w:p>
    <w:p w:rsidR="00F46D5E" w:rsidRPr="00F46D5E" w:rsidRDefault="00F46D5E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C4B0A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Créditos: </w:t>
      </w:r>
      <w:r w:rsidRPr="00F46D5E">
        <w:rPr>
          <w:rFonts w:ascii="Arial" w:hAnsi="Arial" w:cs="Arial"/>
        </w:rPr>
        <w:t>10</w:t>
      </w:r>
    </w:p>
    <w:p w:rsidR="00F46D5E" w:rsidRPr="00F46D5E" w:rsidRDefault="00F46D5E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4B0A" w:rsidRPr="00F46D5E" w:rsidRDefault="008C4B0A" w:rsidP="00F46D5E">
      <w:pPr>
        <w:spacing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Núcleo al que pertenece: </w:t>
      </w:r>
      <w:r w:rsidR="00BB1A09" w:rsidRPr="00F46D5E">
        <w:rPr>
          <w:rFonts w:ascii="Arial" w:hAnsi="Arial" w:cs="Arial"/>
          <w:bCs/>
        </w:rPr>
        <w:t>Ciclo Introductorio</w:t>
      </w:r>
    </w:p>
    <w:p w:rsidR="0012117C" w:rsidRPr="00CF378C" w:rsidRDefault="0012117C" w:rsidP="0012117C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Pr="00CF378C">
        <w:rPr>
          <w:rFonts w:ascii="Arial" w:hAnsi="Arial" w:cs="Arial"/>
        </w:rPr>
        <w:t>Presencial</w:t>
      </w:r>
    </w:p>
    <w:p w:rsidR="00F46D5E" w:rsidRDefault="00F46D5E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Presentación y Objetivos: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1. Que este espacio curricular del Ciclo Inicial cumpla la función, mediante las prácticas de la lectura y escritura disciplinar, de ser una puerta de entrada a los estudios superiores, que empodere al alumno como intelectual. 2. Que este espacio curricular produzca en los</w:t>
      </w:r>
      <w:r w:rsidR="00FE33A7"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una capacidad y necesidad de comprender y de producir textos orales y/o escritos académicos en Ciencias Sociales. 3. Que este espacio curricular genere, en los</w:t>
      </w:r>
      <w:r w:rsidR="00FE33A7"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estudiantes, la valoración del uso social del producto discursivo en Ciencias Sociales, y refuerce los lazos de su filiación institucional a través de prácticas de lectura y escritura especializadas.</w:t>
      </w:r>
    </w:p>
    <w:p w:rsidR="00AB53B6" w:rsidRP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Objetivos:</w:t>
      </w:r>
    </w:p>
    <w:p w:rsidR="00014251" w:rsidRPr="00F46D5E" w:rsidRDefault="00014251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B074C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Que los</w:t>
      </w:r>
      <w:r w:rsidR="002B074C" w:rsidRPr="00F46D5E"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puedan</w:t>
      </w:r>
      <w:r w:rsidR="00AB53B6" w:rsidRPr="00F46D5E">
        <w:rPr>
          <w:rFonts w:ascii="Arial" w:hAnsi="Arial" w:cs="Arial"/>
        </w:rPr>
        <w:t xml:space="preserve">: </w:t>
      </w:r>
    </w:p>
    <w:p w:rsidR="00F46D5E" w:rsidRPr="00F46D5E" w:rsidRDefault="00F46D5E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1. Reconocer géneros discursivos académicos de circulación habitual en las Ciencias Sociales - y sus formas hibridas-, a través de propuestas de lecturas variadas en distintos soportes, y formas de publicación y circulación. </w:t>
      </w:r>
    </w:p>
    <w:p w:rsid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2. Aplicar los rasgos temáticos, estilísticos y estructurales de los géneros discursivos más frecuentes de la Ciencias Sociales a través de la producción de textos. </w:t>
      </w:r>
    </w:p>
    <w:p w:rsid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lastRenderedPageBreak/>
        <w:t xml:space="preserve">3. Distinguir e implementar en la comprensión y producción de textos la narración, la explicación, la descripción y la argumentación, según el género discursivo solicitado y el problema retórico a resolver. </w:t>
      </w:r>
    </w:p>
    <w:p w:rsid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4. Involucrar nociones de análisis del discurso para reflexionar críticamente a partir de los diversos textos. </w:t>
      </w:r>
    </w:p>
    <w:p w:rsid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5. Conocer los protocolos de lectura y escritura de los textos científicoacadémicos de las Ciencias Sociales y dominar su textualidad en la producción escrita (coherencia, cohesión, puntuación y gramaticalidad). </w:t>
      </w:r>
    </w:p>
    <w:p w:rsidR="00AB53B6" w:rsidRPr="00F46D5E" w:rsidRDefault="00AB53B6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6. Resolver adecuadamente consignas de lectura y escritura mediante el uso de nuevas tecnologías.</w:t>
      </w: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mínimos:</w:t>
      </w:r>
    </w:p>
    <w:p w:rsidR="004A0619" w:rsidRPr="00F46D5E" w:rsidRDefault="004A061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76E82" w:rsidRPr="00F46D5E" w:rsidRDefault="00676E8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Lenguaje e instituciones: discurso académico, discurso científico, discurso periodístico. El concepto de autor. Las nociones de verdad, verosímil y ficción.</w:t>
      </w:r>
      <w:r w:rsidR="00F46D5E"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Géneros narrativos no ficcionales: la crónica periodística, el relato testimonial y otros.</w:t>
      </w:r>
      <w:r w:rsidR="00F46D5E"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La argumentación y contra-argumentación. La argumentación y la explicación en el marco del discurso de las Ciencias Sociales: resumen, reseña crítica, ensayo, monografía, artículo.</w:t>
      </w:r>
    </w:p>
    <w:p w:rsidR="002B074C" w:rsidRPr="00F46D5E" w:rsidRDefault="002B074C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B074C" w:rsidRPr="00F46D5E" w:rsidRDefault="002B074C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Temáticos o Unidades:</w:t>
      </w: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A2F62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I.</w:t>
      </w:r>
      <w:r w:rsidR="007E165E" w:rsidRPr="00F46D5E">
        <w:rPr>
          <w:rFonts w:ascii="Arial" w:hAnsi="Arial" w:cs="Arial"/>
          <w:bCs/>
        </w:rPr>
        <w:t>Lenguaje e instituciones. Discurso académico. Discurso científico. Discurso periodístico. Nociones de verdad, verosímil y ficción. Concepto de autor.</w:t>
      </w:r>
    </w:p>
    <w:p w:rsidR="008A2F62" w:rsidRPr="00F46D5E" w:rsidRDefault="008A2F6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B074C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II.</w:t>
      </w:r>
      <w:r w:rsidR="007E165E" w:rsidRPr="00F46D5E">
        <w:rPr>
          <w:rFonts w:ascii="Arial" w:hAnsi="Arial" w:cs="Arial"/>
        </w:rPr>
        <w:t>Los géneros narrativos en las Ciencias Sociales. La narración. El giro narrativo en las Ciencias Sociales. Géneros narrativos frecuentes en las Ciencias Sociales: la crónica periodística, el relato testimonial, autobiografía y biografía, relato etnográfico, el perfil biográfico e historia de vida. La descripción.</w:t>
      </w:r>
    </w:p>
    <w:p w:rsidR="002B074C" w:rsidRPr="00F46D5E" w:rsidRDefault="002B074C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E165E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</w:t>
      </w:r>
      <w:r w:rsidR="006F3CE9" w:rsidRPr="00F46D5E">
        <w:rPr>
          <w:rFonts w:ascii="Arial" w:hAnsi="Arial" w:cs="Arial"/>
          <w:b/>
          <w:bCs/>
        </w:rPr>
        <w:t>II</w:t>
      </w:r>
      <w:r w:rsidRPr="00F46D5E">
        <w:rPr>
          <w:rFonts w:ascii="Arial" w:hAnsi="Arial" w:cs="Arial"/>
          <w:b/>
          <w:bCs/>
        </w:rPr>
        <w:t xml:space="preserve">. </w:t>
      </w:r>
      <w:r w:rsidR="007E165E" w:rsidRPr="00F46D5E">
        <w:rPr>
          <w:rFonts w:ascii="Arial" w:hAnsi="Arial" w:cs="Arial"/>
        </w:rPr>
        <w:t>Explicación. Argumentación. Los géneros argumentativos en las Ciencias Sociales: ensayo, artículo científico, monografía, resumen, reseña crítica.</w:t>
      </w:r>
    </w:p>
    <w:p w:rsidR="00A05E09" w:rsidRPr="00F46D5E" w:rsidRDefault="00A05E0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B074C" w:rsidRPr="00F46D5E" w:rsidRDefault="002B074C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B074C" w:rsidRPr="00F46D5E" w:rsidRDefault="002B074C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Bibliografía Obligatoria:</w:t>
      </w: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</w:t>
      </w: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B53B6" w:rsidRPr="00F46D5E" w:rsidRDefault="00AB53B6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Bajtín, Mijail. (1982). “El problema de los géneros discursivos” en Estética de la creación verbal. México: Siglo XXI.</w:t>
      </w:r>
    </w:p>
    <w:p w:rsidR="007119D0" w:rsidRPr="00F46D5E" w:rsidRDefault="007119D0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Barthes, Roland. (1987). “La muerte del autor” en El susurro del lenguaje, Barcelona: Paidós.</w:t>
      </w:r>
    </w:p>
    <w:p w:rsidR="007119D0" w:rsidRPr="00F46D5E" w:rsidRDefault="007119D0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Bloomfield, Leonard. (1973) Aspectos lingüísticos de la ciencia, Taller de Ediciones.</w:t>
      </w:r>
    </w:p>
    <w:p w:rsidR="003B5B2D" w:rsidRPr="00F46D5E" w:rsidRDefault="003B5B2D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Díaz, Esther. (1992) “Ciencias sociales: Más allá de la voluntad de verdad”. Revista de Filosofía y Teoría Política, Actas del V Congreso Nacional de Filosofía.</w:t>
      </w:r>
    </w:p>
    <w:p w:rsidR="00225078" w:rsidRPr="00F46D5E" w:rsidRDefault="00225078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Greenpeace. Análisis sobre la calidad ambiental de las aguas superficiales en la cuenca Matanza - Riachuelo. Informe completo, febrero de 2013.</w:t>
      </w:r>
    </w:p>
    <w:p w:rsidR="00225078" w:rsidRPr="00F46D5E" w:rsidRDefault="00225078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Miguel, Hernán. (2001). “Ciencias naturales y ciencias sociales, una polaridad necesaria en las ciencias de la salud” en I Jornadas de Educación en Ciencias de la Salud de la Facultad de Farmacia y Bioquímica, Universidad de Buenos Aires.</w:t>
      </w:r>
    </w:p>
    <w:p w:rsidR="00225078" w:rsidRPr="00F46D5E" w:rsidRDefault="00225078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lastRenderedPageBreak/>
        <w:t xml:space="preserve">Navarro, Federico. (2014). Manual de escritura para carreras de humanidades. Buenos Aires: Filo: UBA. </w:t>
      </w:r>
    </w:p>
    <w:p w:rsidR="00225078" w:rsidRPr="00F46D5E" w:rsidRDefault="00CC55C6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Pardo, Rubén Horacio. (2003) “El desafío de las ciencias sociales. Del naturalismo a la hermenéutica”, Perspectivas metodológicas, Vol. 1, Núm. 3.</w:t>
      </w:r>
    </w:p>
    <w:p w:rsidR="00CC55C6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Reyes-Heroles, Federico. (1998) Conocer y decidir. México: Instituto de Estudios educativos y sindicales de América.</w:t>
      </w:r>
    </w:p>
    <w:p w:rsidR="0057602A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Russo, Miguel. (2015). Más que mil palabras. Buenos Aires: Emecé</w:t>
      </w:r>
    </w:p>
    <w:p w:rsidR="0057602A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Verón, Eliseo. (1983). Construir el acontecimiento. Barcelona: Gedisa</w:t>
      </w:r>
    </w:p>
    <w:p w:rsidR="002B074C" w:rsidRPr="00F46D5E" w:rsidRDefault="002B074C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A2F62" w:rsidRPr="00F46D5E" w:rsidRDefault="002B074C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</w:t>
      </w:r>
      <w:r w:rsidR="008A2F62" w:rsidRPr="00F46D5E">
        <w:rPr>
          <w:rFonts w:ascii="Arial" w:hAnsi="Arial" w:cs="Arial"/>
          <w:b/>
          <w:bCs/>
        </w:rPr>
        <w:t>ódulo II</w:t>
      </w:r>
    </w:p>
    <w:p w:rsidR="004A0619" w:rsidRPr="00F46D5E" w:rsidRDefault="004A061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E0814" w:rsidRPr="00F46D5E" w:rsidRDefault="003E0814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Álvarez Angulo, T. (2013). Didáctica de la lengua para la formación de maestro. Barcelona. Ed. Octaedro.</w:t>
      </w:r>
    </w:p>
    <w:p w:rsidR="00D175CC" w:rsidRPr="00F46D5E" w:rsidRDefault="00D175CC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Atorresi, Ana; </w:t>
      </w:r>
      <w:r w:rsidRPr="00F46D5E">
        <w:rPr>
          <w:rFonts w:ascii="Arial" w:hAnsi="Arial" w:cs="Arial"/>
          <w:i/>
          <w:iCs/>
        </w:rPr>
        <w:t>La crónica periodística</w:t>
      </w:r>
      <w:r w:rsidRPr="00F46D5E">
        <w:rPr>
          <w:rFonts w:ascii="Arial" w:hAnsi="Arial" w:cs="Arial"/>
        </w:rPr>
        <w:t>, Buenos Aires, Ars Editorial, 1995.</w:t>
      </w:r>
    </w:p>
    <w:p w:rsidR="00D175CC" w:rsidRPr="00F46D5E" w:rsidRDefault="00D175CC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Bal, Mieke, T</w:t>
      </w:r>
      <w:r w:rsidRPr="00F46D5E">
        <w:rPr>
          <w:rFonts w:ascii="Arial" w:hAnsi="Arial" w:cs="Arial"/>
          <w:i/>
          <w:iCs/>
        </w:rPr>
        <w:t>eoría de la narrativa (Una introducción a la narratología)</w:t>
      </w:r>
      <w:r w:rsidRPr="00F46D5E">
        <w:rPr>
          <w:rFonts w:ascii="Arial" w:hAnsi="Arial" w:cs="Arial"/>
        </w:rPr>
        <w:t>, Madrid,Cátedra,1995.</w:t>
      </w:r>
    </w:p>
    <w:p w:rsidR="003E0814" w:rsidRPr="00F46D5E" w:rsidRDefault="003E0814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Garrido, A., Checa Olmos, J. (1998). “Las historias de vida como método de acercamiento a la realidad social”. Gazeta de Antropología. 14(10).Recuperado de http://www.ugr.es/~pwlac/G14_10JuanCarlos_ChecaAngeles_Arjona.html</w:t>
      </w:r>
    </w:p>
    <w:p w:rsidR="00D175CC" w:rsidRPr="00F46D5E" w:rsidRDefault="00D175CC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Lejeune, Philippe.(1994).</w:t>
      </w:r>
      <w:r w:rsidRPr="00F46D5E">
        <w:rPr>
          <w:rFonts w:ascii="Arial" w:hAnsi="Arial" w:cs="Arial"/>
          <w:i/>
        </w:rPr>
        <w:t>El pacto autobiográfico y otros estudios.</w:t>
      </w:r>
      <w:r w:rsidRPr="00F46D5E">
        <w:rPr>
          <w:rFonts w:ascii="Arial" w:hAnsi="Arial" w:cs="Arial"/>
        </w:rPr>
        <w:t>Madrid: Ed. Megazul- Endymion.</w:t>
      </w:r>
    </w:p>
    <w:p w:rsidR="00D175CC" w:rsidRPr="00F46D5E" w:rsidRDefault="00D175CC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Levi, P.(2013).</w:t>
      </w:r>
      <w:r w:rsidRPr="00F46D5E">
        <w:rPr>
          <w:rFonts w:ascii="Arial" w:hAnsi="Arial" w:cs="Arial"/>
          <w:i/>
        </w:rPr>
        <w:t>Si esto es un hombre.</w:t>
      </w:r>
      <w:r w:rsidRPr="00F46D5E">
        <w:rPr>
          <w:rFonts w:ascii="Arial" w:hAnsi="Arial" w:cs="Arial"/>
        </w:rPr>
        <w:t>Buenos Aires: El Aleph</w:t>
      </w:r>
    </w:p>
    <w:p w:rsidR="00225078" w:rsidRPr="00F46D5E" w:rsidRDefault="00225078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Marín, Marta. (2015). Escribir textos científicos y académicos. Bs As: FCE.</w:t>
      </w:r>
    </w:p>
    <w:p w:rsidR="003E0814" w:rsidRPr="00F46D5E" w:rsidRDefault="003E0814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Massó Guijarro, E. (2008). Relato etnográfico de un encuentro real: visita al Khutamafwe, región de Caprivi, Estado de Namibia.Etnográfica, 12(2) ,525-561.</w:t>
      </w:r>
    </w:p>
    <w:p w:rsidR="00D175CC" w:rsidRPr="00F46D5E" w:rsidRDefault="00D175CC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Peralta, D. y Urtasun, M. (2005).</w:t>
      </w:r>
      <w:r w:rsidRPr="00F46D5E">
        <w:rPr>
          <w:rFonts w:ascii="Arial" w:hAnsi="Arial" w:cs="Arial"/>
          <w:i/>
        </w:rPr>
        <w:t xml:space="preserve"> La crónica periodística: lectura crítica y redacción</w:t>
      </w:r>
      <w:r w:rsidRPr="00F46D5E">
        <w:rPr>
          <w:rFonts w:ascii="Arial" w:hAnsi="Arial" w:cs="Arial"/>
        </w:rPr>
        <w:t>. Ed. La Crujía.</w:t>
      </w:r>
    </w:p>
    <w:p w:rsidR="00CC55C6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 Academia Española. (2015).Diccionario de lengua española. Madrid: Espasa Calpe.</w:t>
      </w:r>
    </w:p>
    <w:p w:rsidR="00D175CC" w:rsidRPr="00F46D5E" w:rsidRDefault="00D175CC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RivaraKamaji, Greta.“El testimonio: una forma de relato” en </w:t>
      </w:r>
      <w:r w:rsidRPr="00F46D5E">
        <w:rPr>
          <w:rFonts w:ascii="Arial" w:hAnsi="Arial" w:cs="Arial"/>
          <w:i/>
        </w:rPr>
        <w:t>Revista Bajo Palabra.</w:t>
      </w:r>
      <w:r w:rsidRPr="00F46D5E">
        <w:rPr>
          <w:rFonts w:ascii="Arial" w:hAnsi="Arial" w:cs="Arial"/>
        </w:rPr>
        <w:t>(2007). Universidad Autónoma de México.</w:t>
      </w:r>
    </w:p>
    <w:p w:rsidR="0057602A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Rockwell, Elsie. (2000).”La otra diversidad: histor</w:t>
      </w:r>
      <w:r w:rsidR="00014251" w:rsidRPr="00F46D5E">
        <w:rPr>
          <w:rFonts w:ascii="Arial" w:hAnsi="Arial" w:cs="Arial"/>
        </w:rPr>
        <w:t xml:space="preserve">ias múltiples de apropiación de </w:t>
      </w:r>
      <w:r w:rsidRPr="00F46D5E">
        <w:rPr>
          <w:rFonts w:ascii="Arial" w:hAnsi="Arial" w:cs="Arial"/>
        </w:rPr>
        <w:t xml:space="preserve">la escritura”. DiverCitéLangues. Recuperado de </w:t>
      </w:r>
      <w:hyperlink r:id="rId8" w:history="1">
        <w:r w:rsidRPr="00F46D5E">
          <w:rPr>
            <w:rStyle w:val="Hipervnculo"/>
            <w:rFonts w:ascii="Arial" w:hAnsi="Arial" w:cs="Arial"/>
          </w:rPr>
          <w:t>http://www.teluq.uquebec.ca/diverscite</w:t>
        </w:r>
      </w:hyperlink>
    </w:p>
    <w:p w:rsidR="003E0814" w:rsidRPr="00F46D5E" w:rsidRDefault="003E0814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Veras, E. 2010. “Historia de Vida: ¿Un método para las ciencias sociales?” Cinta moebio 39: 142-152.Recuperado de www.moebio.uchile.cl/39/veras.htm</w:t>
      </w:r>
    </w:p>
    <w:p w:rsidR="00DA0693" w:rsidRPr="00F46D5E" w:rsidRDefault="00DA0693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 xml:space="preserve">Módulo </w:t>
      </w:r>
      <w:r w:rsidR="008A2F62" w:rsidRPr="00F46D5E">
        <w:rPr>
          <w:rFonts w:ascii="Arial" w:hAnsi="Arial" w:cs="Arial"/>
          <w:b/>
          <w:bCs/>
        </w:rPr>
        <w:t>I</w:t>
      </w:r>
      <w:r w:rsidR="00A168D1" w:rsidRPr="00F46D5E">
        <w:rPr>
          <w:rFonts w:ascii="Arial" w:hAnsi="Arial" w:cs="Arial"/>
          <w:b/>
          <w:bCs/>
        </w:rPr>
        <w:t>II</w:t>
      </w:r>
    </w:p>
    <w:p w:rsidR="00935FDB" w:rsidRPr="00F46D5E" w:rsidRDefault="00935FD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50392" w:rsidRPr="00F46D5E" w:rsidRDefault="00AB53B6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Atorresi. A, Zamudio B. (2000) "La explicación" Buenos Aires: EUDEBA.</w:t>
      </w:r>
    </w:p>
    <w:p w:rsidR="00861682" w:rsidRPr="00F46D5E" w:rsidRDefault="0086168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Gonzales, Horacio. “El ensayo en Ciencias Sociales: una forma antropológica de la crítica: en </w:t>
      </w:r>
      <w:r w:rsidRPr="00F46D5E">
        <w:rPr>
          <w:rFonts w:ascii="Arial" w:hAnsi="Arial" w:cs="Arial"/>
          <w:i/>
        </w:rPr>
        <w:t>Boletín de la Facultad de Ciencias Sociales</w:t>
      </w:r>
      <w:r w:rsidRPr="00F46D5E">
        <w:rPr>
          <w:rFonts w:ascii="Arial" w:hAnsi="Arial" w:cs="Arial"/>
        </w:rPr>
        <w:t>( UBA),Nº 43, agosto 2000.</w:t>
      </w:r>
    </w:p>
    <w:p w:rsidR="003B5B2D" w:rsidRPr="00F46D5E" w:rsidRDefault="00225078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Koval, Santiago. (2011) Manual para la elaboración de trabajos académicos”, Grupo Editorial Temas.</w:t>
      </w:r>
    </w:p>
    <w:p w:rsidR="0057602A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Reale, Analía. (2007). Comprensión y producción de texto. Cuaderno de lecturas y consignas de trabajo, Bernal, UNQ.</w:t>
      </w:r>
    </w:p>
    <w:p w:rsidR="0057602A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- - - - - - - - -. (2010) "Taller de Expresión I" (Cátedra Reale) "Ensayo" Buenos Aires: Facultad de Filosofía y Letras, UBA.</w:t>
      </w:r>
    </w:p>
    <w:p w:rsidR="00BB3294" w:rsidRPr="00F46D5E" w:rsidRDefault="00BB3294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Teitelbaum, H. (2002). Howtowritebookreports (4th ed.). New York : ARCO</w:t>
      </w:r>
    </w:p>
    <w:p w:rsidR="0057602A" w:rsidRPr="00F46D5E" w:rsidRDefault="0057602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Van Dijk. Teun. (1983) La ciencia del texto, Barcelona: Paidós</w:t>
      </w:r>
    </w:p>
    <w:p w:rsidR="00935FDB" w:rsidRPr="00F46D5E" w:rsidRDefault="00935FD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46D5E" w:rsidRDefault="00F46D5E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35FDB" w:rsidRPr="00F46D5E" w:rsidRDefault="00935FD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46D5E">
        <w:rPr>
          <w:rFonts w:ascii="Arial" w:hAnsi="Arial" w:cs="Arial"/>
          <w:b/>
        </w:rPr>
        <w:lastRenderedPageBreak/>
        <w:t>Bibliografía general</w:t>
      </w:r>
    </w:p>
    <w:p w:rsidR="00935FDB" w:rsidRPr="00F46D5E" w:rsidRDefault="00935FD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35FDB" w:rsidRPr="00F46D5E" w:rsidRDefault="00935FD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Adam,Jean-Michel. Les textes: types et prototypes. Récit, description, argumentation,    explication et dialogue. Paris: EditionsNathan, 1992.</w:t>
      </w:r>
    </w:p>
    <w:p w:rsidR="00935FDB" w:rsidRPr="00F46D5E" w:rsidRDefault="00935FD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Adelstein, A. et. al (1998) Taller de lecto-escritura. Vol. I: Aspectos gramaticales, textuales y discursivos y Vol. II: Aspectos del discurso científicoacadémico. San Miguel: Universidad Nacional de General Sarmiento. Colección Universidad y Educación. Serie Material Didáctico Nº 3 y 4.</w:t>
      </w:r>
    </w:p>
    <w:p w:rsidR="002A349A" w:rsidRPr="00F46D5E" w:rsidRDefault="002A349A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Alarcón, Cristia</w:t>
      </w:r>
      <w:r w:rsidR="00AE1C4B" w:rsidRPr="00F46D5E">
        <w:rPr>
          <w:rFonts w:ascii="Arial" w:hAnsi="Arial" w:cs="Arial"/>
        </w:rPr>
        <w:t>n (comp.). Anfibia. Crónicas y Ensayos/1. (2014). Buenos Aires: UNSAM.</w:t>
      </w:r>
    </w:p>
    <w:p w:rsidR="00935FDB" w:rsidRPr="00F46D5E" w:rsidRDefault="00935FD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Alvarado, Maite. Paratexto. Buenos Aires: Oficina de Publicaciones del Ciclo Básico Común-UBA, 1994.</w:t>
      </w:r>
    </w:p>
    <w:p w:rsidR="00935FDB" w:rsidRPr="00F46D5E" w:rsidRDefault="00935FD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Arnoux, E. et al. Talleres de lectura y Escritura. Textos y Actividades. Buenos Aires: Oficina de Publicaciones del Ciclo Básico Común-UBA, 1996.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Benveniste, Emile. (1985). Problemas de lingüística general I y II. México: Siglo XXI.</w:t>
      </w:r>
    </w:p>
    <w:p w:rsidR="00935FDB" w:rsidRPr="00F46D5E" w:rsidRDefault="00935FD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(1999) “El campo científico”, en: Intelectuales, política y poder. Buenos Aires: Eudeba.</w:t>
      </w:r>
    </w:p>
    <w:p w:rsidR="00935FDB" w:rsidRPr="00F46D5E" w:rsidRDefault="00935FD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y Roger C. (2003). “La lectura: una práctica cultural” en: Revista Sociedad y economía.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CalsamigliaBlancafort, H. y A. Tusón Valls. (1999) Las cosas del decir. Manual de análisis del discurso. Barcelona: Ariel.</w:t>
      </w:r>
    </w:p>
    <w:p w:rsidR="00A031B9" w:rsidRPr="00F46D5E" w:rsidRDefault="00A031B9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Cassany, Daniel. (2006). “Géneros escritos”, en Taller de textos, Barcelona: Paidós.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Ciapuscio, Guiomar Elena. (1994) Tipos textuales. Buenos Aires: Oficina de Publicaciones del Ciclo Básico Común- UBA.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46D5E">
        <w:rPr>
          <w:rFonts w:ascii="Arial" w:hAnsi="Arial" w:cs="Arial"/>
        </w:rPr>
        <w:t>Flower, Linda y John Hayes. (1996). “La teoría de la redacción como proceso cognitivo” en Textos en contexto I. Los procesos de lectura y escritura. Buenos Aires: Lectura y Vida.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Jakobson, Roman. (1985) “Lingüística y poética”, en Ensayos de lingüística general. Barcelona: Planeta- Agostini.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Kalman, Judith. “Discusiones conceptuales en el campo de la cultura escrita”, en Revista Iberoamericana de Educación, Nº46. Recuperado de </w:t>
      </w:r>
      <w:hyperlink r:id="rId9" w:history="1">
        <w:r w:rsidRPr="00F46D5E">
          <w:rPr>
            <w:rStyle w:val="Hipervnculo"/>
            <w:rFonts w:ascii="Arial" w:hAnsi="Arial" w:cs="Arial"/>
          </w:rPr>
          <w:t>http://www.rioei.org/rie46a06.htm</w:t>
        </w:r>
      </w:hyperlink>
    </w:p>
    <w:p w:rsidR="00A031B9" w:rsidRPr="00F46D5E" w:rsidRDefault="00A031B9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Lorenzini, Esther y Furman, Claudia. (1988) Estrategias discursivas. Buenos Aires. Club de Estudio.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Montolío, Estrella (coord.).(2000). Manual práctico de escritura académica. Barcelona: Ariel.</w:t>
      </w:r>
    </w:p>
    <w:p w:rsidR="00A031B9" w:rsidRPr="00F46D5E" w:rsidRDefault="00A031B9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Narvaja de Arnoux, Mariana Di Stefano, Cecilia Pereira. (2002). La lectura y la escritura en la Universidad. Buenos Aires: Eudeba.</w:t>
      </w:r>
    </w:p>
    <w:p w:rsidR="00935FDB" w:rsidRPr="00F46D5E" w:rsidRDefault="00935FD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Navarro, Federico y RevelChion, Andrea. (2013). Escribir para aprender. Buenos Aires: Paidós.</w:t>
      </w:r>
    </w:p>
    <w:p w:rsidR="00D907E2" w:rsidRPr="00F46D5E" w:rsidRDefault="00D907E2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Perkins, David. (1999) “¿Qué es la comprensión?” en La enseñanza para la comprensión. Comp. Martha Stone Wiske. Buenos Aires: Paidós.</w:t>
      </w:r>
    </w:p>
    <w:p w:rsidR="00935FDB" w:rsidRPr="00F46D5E" w:rsidRDefault="00C76CB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Serafini, María Teresa. (1996). Cómo se escribe. Barcelona: Paidós.</w:t>
      </w:r>
    </w:p>
    <w:p w:rsidR="00531678" w:rsidRPr="00F46D5E" w:rsidRDefault="00531678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Spiegelman, Art. (2014). Maus. Madrid: RandomHouse</w:t>
      </w:r>
    </w:p>
    <w:p w:rsidR="00250392" w:rsidRPr="00F46D5E" w:rsidRDefault="0025039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05E09" w:rsidRPr="00F46D5E" w:rsidRDefault="00A05E0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03344" w:rsidRPr="00F46D5E" w:rsidRDefault="00A03344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03344" w:rsidRPr="00F46D5E" w:rsidRDefault="00A03344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Modalidad de dictado:</w:t>
      </w:r>
    </w:p>
    <w:p w:rsidR="004A0619" w:rsidRPr="00F46D5E" w:rsidRDefault="004A061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B09EF" w:rsidRPr="00F46D5E" w:rsidRDefault="00A03344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Cs/>
        </w:rPr>
        <w:t xml:space="preserve">Aula- taller: </w:t>
      </w:r>
      <w:r w:rsidRPr="00F46D5E">
        <w:rPr>
          <w:rFonts w:ascii="Arial" w:hAnsi="Arial" w:cs="Arial"/>
        </w:rPr>
        <w:t xml:space="preserve">Se propondrá a los alumnos la lectura y escritura de textos de circulación frecuente en el ámbito académico de las Ciencias Sociales. A partir de la utilización del </w:t>
      </w:r>
      <w:r w:rsidRPr="00F46D5E">
        <w:rPr>
          <w:rFonts w:ascii="Arial" w:hAnsi="Arial" w:cs="Arial"/>
        </w:rPr>
        <w:lastRenderedPageBreak/>
        <w:t>cuadernillo como material didáctico principal, los</w:t>
      </w:r>
      <w:r w:rsidR="00FE33A7"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llevarán a cabo prácticas de producción y comprensión de textos.</w:t>
      </w:r>
    </w:p>
    <w:p w:rsidR="00A03344" w:rsidRPr="00F46D5E" w:rsidRDefault="00A03344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Actividades extra-áulicas obligatorias:</w:t>
      </w:r>
    </w:p>
    <w:p w:rsidR="0074013B" w:rsidRPr="00F46D5E" w:rsidRDefault="0074013B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Participación en</w:t>
      </w:r>
      <w:r w:rsidR="00133756" w:rsidRPr="00F46D5E">
        <w:rPr>
          <w:rFonts w:ascii="Arial" w:hAnsi="Arial" w:cs="Arial"/>
        </w:rPr>
        <w:t xml:space="preserve"> algún</w:t>
      </w:r>
      <w:r w:rsidRPr="00F46D5E">
        <w:rPr>
          <w:rFonts w:ascii="Arial" w:hAnsi="Arial" w:cs="Arial"/>
        </w:rPr>
        <w:t xml:space="preserve"> evento </w:t>
      </w:r>
      <w:r w:rsidR="00133756" w:rsidRPr="00F46D5E">
        <w:rPr>
          <w:rFonts w:ascii="Arial" w:hAnsi="Arial" w:cs="Arial"/>
        </w:rPr>
        <w:t xml:space="preserve">a definir </w:t>
      </w:r>
      <w:r w:rsidRPr="00F46D5E">
        <w:rPr>
          <w:rFonts w:ascii="Arial" w:hAnsi="Arial" w:cs="Arial"/>
        </w:rPr>
        <w:t>relativo a “La Mirada y la Palabra”.</w:t>
      </w:r>
    </w:p>
    <w:p w:rsidR="00A03344" w:rsidRPr="00F46D5E" w:rsidRDefault="00A03344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VAMOS AL CINE Odeón: “Memoria del saqueo” (argentina) 2003, Director</w:t>
      </w:r>
      <w:r w:rsidR="00C51E71" w:rsidRPr="00F46D5E">
        <w:rPr>
          <w:rFonts w:ascii="Arial" w:hAnsi="Arial" w:cs="Arial"/>
        </w:rPr>
        <w:t>: Fernando “Pino” Solanas.</w:t>
      </w:r>
      <w:hyperlink r:id="rId10" w:history="1">
        <w:r w:rsidR="00C51E71" w:rsidRPr="00F46D5E">
          <w:rPr>
            <w:rStyle w:val="Hipervnculo"/>
            <w:rFonts w:ascii="Arial" w:hAnsi="Arial" w:cs="Arial"/>
          </w:rPr>
          <w:t>www.odeon.com.ar</w:t>
        </w:r>
      </w:hyperlink>
    </w:p>
    <w:p w:rsidR="00C51E71" w:rsidRPr="00F46D5E" w:rsidRDefault="00C51E71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VAMOS AL CINE Odeón: “El crítico” (argentina-chilena) 2013, Director: Hernán Guerschuny. </w:t>
      </w:r>
      <w:hyperlink r:id="rId11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:rsidR="00C51E71" w:rsidRPr="00F46D5E" w:rsidRDefault="00C51E71" w:rsidP="00F46D5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VAMOS AL CINE Odeón: “El hombre de al lado” de Gastón Duprat y Mariano Cohn.</w:t>
      </w:r>
      <w:hyperlink r:id="rId12" w:history="1">
        <w:r w:rsidR="00BB3294" w:rsidRPr="00F46D5E">
          <w:rPr>
            <w:rStyle w:val="Hipervnculo"/>
            <w:rFonts w:ascii="Arial" w:hAnsi="Arial" w:cs="Arial"/>
          </w:rPr>
          <w:t>www.odeon.com.ar</w:t>
        </w:r>
      </w:hyperlink>
    </w:p>
    <w:p w:rsidR="00A05E09" w:rsidRPr="00F46D5E" w:rsidRDefault="00A05E0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10AEB" w:rsidRPr="00F46D5E" w:rsidRDefault="00A10AE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 Objetivo</w:t>
      </w:r>
    </w:p>
    <w:p w:rsidR="00A05E09" w:rsidRPr="00F46D5E" w:rsidRDefault="00A05E0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/>
      </w:tblPr>
      <w:tblGrid>
        <w:gridCol w:w="4790"/>
        <w:gridCol w:w="3930"/>
      </w:tblGrid>
      <w:tr w:rsidR="00DA0693" w:rsidRPr="00F46D5E" w:rsidTr="00DA0693">
        <w:tc>
          <w:tcPr>
            <w:tcW w:w="4790" w:type="dxa"/>
          </w:tcPr>
          <w:p w:rsidR="00DA0693" w:rsidRPr="00F46D5E" w:rsidRDefault="00133756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 xml:space="preserve">Taller y actividades relativas a </w:t>
            </w:r>
            <w:r w:rsidR="0074013B" w:rsidRPr="00F46D5E">
              <w:rPr>
                <w:rFonts w:ascii="Arial" w:hAnsi="Arial" w:cs="Arial"/>
              </w:rPr>
              <w:t>“La Mirada y la Palabra”</w:t>
            </w:r>
          </w:p>
        </w:tc>
        <w:tc>
          <w:tcPr>
            <w:tcW w:w="3930" w:type="dxa"/>
          </w:tcPr>
          <w:p w:rsidR="00DA0693" w:rsidRPr="00F46D5E" w:rsidRDefault="00173885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Promover el debate y la mirada crítica</w:t>
            </w:r>
          </w:p>
        </w:tc>
      </w:tr>
      <w:tr w:rsidR="00DA0693" w:rsidRPr="00F46D5E" w:rsidTr="00DA0693">
        <w:tc>
          <w:tcPr>
            <w:tcW w:w="4790" w:type="dxa"/>
          </w:tcPr>
          <w:p w:rsidR="00DA0693" w:rsidRPr="00F46D5E" w:rsidRDefault="00173885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“Vamos al cine”</w:t>
            </w:r>
          </w:p>
        </w:tc>
        <w:tc>
          <w:tcPr>
            <w:tcW w:w="3930" w:type="dxa"/>
          </w:tcPr>
          <w:p w:rsidR="00DA0693" w:rsidRPr="00F46D5E" w:rsidRDefault="00173885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Generar propuestas de escritura en los géneros de las Ciencias Sociales</w:t>
            </w:r>
          </w:p>
        </w:tc>
      </w:tr>
      <w:tr w:rsidR="00DA0693" w:rsidRPr="00F46D5E" w:rsidTr="00DA0693">
        <w:tc>
          <w:tcPr>
            <w:tcW w:w="4790" w:type="dxa"/>
          </w:tcPr>
          <w:p w:rsidR="00DA0693" w:rsidRPr="00F46D5E" w:rsidRDefault="00173885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 xml:space="preserve">Lectura de textos seleccionados </w:t>
            </w:r>
          </w:p>
        </w:tc>
        <w:tc>
          <w:tcPr>
            <w:tcW w:w="3930" w:type="dxa"/>
          </w:tcPr>
          <w:p w:rsidR="00DA0693" w:rsidRPr="00F46D5E" w:rsidRDefault="00133756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Comprender desde una perspectiva crítica</w:t>
            </w:r>
          </w:p>
        </w:tc>
      </w:tr>
      <w:tr w:rsidR="00DA0693" w:rsidRPr="00F46D5E" w:rsidTr="00DA0693">
        <w:tc>
          <w:tcPr>
            <w:tcW w:w="4790" w:type="dxa"/>
          </w:tcPr>
          <w:p w:rsidR="00DA0693" w:rsidRPr="00F46D5E" w:rsidRDefault="00173885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Escritura de textos a partir de consignas</w:t>
            </w:r>
          </w:p>
        </w:tc>
        <w:tc>
          <w:tcPr>
            <w:tcW w:w="3930" w:type="dxa"/>
          </w:tcPr>
          <w:p w:rsidR="00DA0693" w:rsidRPr="00F46D5E" w:rsidRDefault="00173885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Producir textos adecuados  al género solicitado y a la situación comunicativa</w:t>
            </w:r>
          </w:p>
        </w:tc>
      </w:tr>
      <w:tr w:rsidR="0007084B" w:rsidRPr="00F46D5E" w:rsidTr="00DA0693">
        <w:tc>
          <w:tcPr>
            <w:tcW w:w="4790" w:type="dxa"/>
          </w:tcPr>
          <w:p w:rsidR="0007084B" w:rsidRPr="00F46D5E" w:rsidRDefault="0007084B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Conformación de un portfolio</w:t>
            </w:r>
          </w:p>
        </w:tc>
        <w:tc>
          <w:tcPr>
            <w:tcW w:w="3930" w:type="dxa"/>
          </w:tcPr>
          <w:p w:rsidR="0007084B" w:rsidRPr="00F46D5E" w:rsidRDefault="0007084B" w:rsidP="00F46D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Integrar los aprendizajes materializados a través de producciones escritas</w:t>
            </w:r>
          </w:p>
        </w:tc>
      </w:tr>
    </w:tbl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09EF" w:rsidRPr="00F46D5E" w:rsidRDefault="007B09EF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Evaluación:</w:t>
      </w:r>
    </w:p>
    <w:p w:rsidR="00DA0693" w:rsidRPr="00F46D5E" w:rsidRDefault="00DA0693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A0619" w:rsidRPr="00F46D5E" w:rsidRDefault="0025039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Para </w:t>
      </w:r>
      <w:r w:rsidR="007B09EF" w:rsidRPr="00F46D5E">
        <w:rPr>
          <w:rFonts w:ascii="Arial" w:hAnsi="Arial" w:cs="Arial"/>
        </w:rPr>
        <w:t>aprobar la asignatura, el/la estudiante</w:t>
      </w:r>
      <w:r w:rsidRPr="00F46D5E">
        <w:rPr>
          <w:rFonts w:ascii="Arial" w:hAnsi="Arial" w:cs="Arial"/>
        </w:rPr>
        <w:t xml:space="preserve"> deberá contar con un mínimo de 75 por ciento de asistencia a las clases, la totalidad de los trabajos prácticos requeridos</w:t>
      </w:r>
      <w:r w:rsidR="0007084B" w:rsidRPr="00F46D5E">
        <w:rPr>
          <w:rFonts w:ascii="Arial" w:hAnsi="Arial" w:cs="Arial"/>
        </w:rPr>
        <w:t xml:space="preserve"> (portfolio)</w:t>
      </w:r>
      <w:r w:rsidRPr="00F46D5E">
        <w:rPr>
          <w:rFonts w:ascii="Arial" w:hAnsi="Arial" w:cs="Arial"/>
        </w:rPr>
        <w:t xml:space="preserve">, y aprobar </w:t>
      </w:r>
      <w:r w:rsidR="00FD7EED" w:rsidRPr="00F46D5E">
        <w:rPr>
          <w:rFonts w:ascii="Arial" w:hAnsi="Arial" w:cs="Arial"/>
        </w:rPr>
        <w:t xml:space="preserve"> dos Trabajos Prácticos</w:t>
      </w:r>
      <w:r w:rsidR="0007084B" w:rsidRPr="00F46D5E">
        <w:rPr>
          <w:rFonts w:ascii="Arial" w:hAnsi="Arial" w:cs="Arial"/>
        </w:rPr>
        <w:t>:</w:t>
      </w:r>
    </w:p>
    <w:p w:rsidR="004A0619" w:rsidRPr="00F46D5E" w:rsidRDefault="004A061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A0619" w:rsidRPr="00F46D5E" w:rsidRDefault="0007084B" w:rsidP="00F46D5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Trabajo Práctico Nº1: Luego de la lectura de seis capítulos del libro </w:t>
      </w:r>
      <w:r w:rsidRPr="00F46D5E">
        <w:rPr>
          <w:rFonts w:ascii="Arial" w:hAnsi="Arial" w:cs="Arial"/>
          <w:i/>
        </w:rPr>
        <w:t>Más que mil palabras</w:t>
      </w:r>
      <w:r w:rsidRPr="00F46D5E">
        <w:rPr>
          <w:rFonts w:ascii="Arial" w:hAnsi="Arial" w:cs="Arial"/>
        </w:rPr>
        <w:t>, de Miguel Russo, (ed. Planeta, 2015, Buenos Aires), el</w:t>
      </w:r>
      <w:r w:rsidR="00FE33A7"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estudiante, en forma individual, deberá producir un artículo semejante</w:t>
      </w:r>
      <w:r w:rsidR="00133756" w:rsidRPr="00F46D5E">
        <w:rPr>
          <w:rFonts w:ascii="Arial" w:hAnsi="Arial" w:cs="Arial"/>
        </w:rPr>
        <w:t xml:space="preserve"> a los publicados en ese libro a partir de una fotografía en particular.</w:t>
      </w:r>
    </w:p>
    <w:p w:rsidR="00133756" w:rsidRPr="00F46D5E" w:rsidRDefault="00133756" w:rsidP="00F46D5E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133756" w:rsidRPr="00F46D5E" w:rsidRDefault="0007084B" w:rsidP="00F46D5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Trabajo Práctico Nº2: Luego de la lectura completa del libro</w:t>
      </w:r>
      <w:r w:rsidR="00133756" w:rsidRPr="00F46D5E">
        <w:rPr>
          <w:rFonts w:ascii="Arial" w:hAnsi="Arial" w:cs="Arial"/>
        </w:rPr>
        <w:t xml:space="preserve"> N°1 o N°2 o N°3 u otro a definir l</w:t>
      </w:r>
      <w:r w:rsidRPr="00F46D5E">
        <w:rPr>
          <w:rFonts w:ascii="Arial" w:hAnsi="Arial" w:cs="Arial"/>
        </w:rPr>
        <w:t xml:space="preserve">os alumnos, en grupos de tres, deberán redactar un texto a partir de una consigna de escritura. </w:t>
      </w:r>
    </w:p>
    <w:p w:rsidR="00F400FD" w:rsidRPr="00F46D5E" w:rsidRDefault="00F400FD" w:rsidP="00F46D5E">
      <w:pPr>
        <w:pStyle w:val="Prrafodelista"/>
        <w:spacing w:line="240" w:lineRule="auto"/>
        <w:rPr>
          <w:rFonts w:ascii="Arial" w:hAnsi="Arial" w:cs="Arial"/>
        </w:rPr>
      </w:pPr>
    </w:p>
    <w:p w:rsidR="00F400FD" w:rsidRPr="00F46D5E" w:rsidRDefault="00F400FD" w:rsidP="00F46D5E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133756" w:rsidRPr="00F46D5E" w:rsidRDefault="00133756" w:rsidP="00F46D5E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N°1:</w:t>
      </w:r>
      <w:r w:rsidR="00F46D5E"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La palabra contraria</w:t>
      </w:r>
      <w:r w:rsidRPr="00F46D5E">
        <w:rPr>
          <w:rFonts w:ascii="Arial" w:hAnsi="Arial" w:cs="Arial"/>
        </w:rPr>
        <w:t>, de Erri de Luca</w:t>
      </w:r>
    </w:p>
    <w:p w:rsidR="00133756" w:rsidRPr="00F46D5E" w:rsidRDefault="00133756" w:rsidP="00F46D5E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N°2:</w:t>
      </w:r>
      <w:r w:rsidR="00F46D5E"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Maus,</w:t>
      </w:r>
      <w:r w:rsidRPr="00F46D5E">
        <w:rPr>
          <w:rFonts w:ascii="Arial" w:hAnsi="Arial" w:cs="Arial"/>
        </w:rPr>
        <w:t xml:space="preserve"> de Art Spiegelman</w:t>
      </w:r>
    </w:p>
    <w:p w:rsidR="00133756" w:rsidRPr="00F46D5E" w:rsidRDefault="00F46D5E" w:rsidP="00F46D5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 </w:t>
      </w:r>
      <w:r w:rsidR="00133756" w:rsidRPr="00F46D5E">
        <w:rPr>
          <w:rFonts w:ascii="Arial" w:hAnsi="Arial" w:cs="Arial"/>
        </w:rPr>
        <w:t xml:space="preserve">Libro N°3: </w:t>
      </w:r>
      <w:r w:rsidR="00133756" w:rsidRPr="00F46D5E">
        <w:rPr>
          <w:rFonts w:ascii="Arial" w:hAnsi="Arial" w:cs="Arial"/>
          <w:i/>
        </w:rPr>
        <w:t>Anfibia</w:t>
      </w:r>
      <w:r w:rsidR="00133756" w:rsidRPr="00F46D5E">
        <w:rPr>
          <w:rFonts w:ascii="Arial" w:hAnsi="Arial" w:cs="Arial"/>
        </w:rPr>
        <w:t xml:space="preserve">. </w:t>
      </w:r>
      <w:r w:rsidR="00133756" w:rsidRPr="00F46D5E">
        <w:rPr>
          <w:rFonts w:ascii="Arial" w:hAnsi="Arial" w:cs="Arial"/>
          <w:i/>
        </w:rPr>
        <w:t>Crónicas y Ensayos/1</w:t>
      </w:r>
      <w:r w:rsidR="00133756" w:rsidRPr="00F46D5E">
        <w:rPr>
          <w:rFonts w:ascii="Arial" w:hAnsi="Arial" w:cs="Arial"/>
        </w:rPr>
        <w:t xml:space="preserve">, de </w:t>
      </w:r>
      <w:r w:rsidR="00F400FD" w:rsidRPr="00F46D5E">
        <w:rPr>
          <w:rFonts w:ascii="Arial" w:hAnsi="Arial" w:cs="Arial"/>
        </w:rPr>
        <w:t>Cristian Alarcón</w:t>
      </w:r>
      <w:r w:rsidR="00133756" w:rsidRPr="00F46D5E">
        <w:rPr>
          <w:rFonts w:ascii="Arial" w:hAnsi="Arial" w:cs="Arial"/>
        </w:rPr>
        <w:t xml:space="preserve"> (comp.)</w:t>
      </w:r>
    </w:p>
    <w:p w:rsidR="00133756" w:rsidRPr="00F46D5E" w:rsidRDefault="00133756" w:rsidP="00F46D5E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bookmarkStart w:id="0" w:name="_GoBack"/>
      <w:bookmarkEnd w:id="0"/>
    </w:p>
    <w:p w:rsidR="0007084B" w:rsidRPr="00F46D5E" w:rsidRDefault="0007084B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cyan"/>
        </w:rPr>
      </w:pPr>
    </w:p>
    <w:p w:rsidR="00250392" w:rsidRPr="00F46D5E" w:rsidRDefault="00A05E09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Cada una de las instancias evaluativas tendrá su correspondiente recuperatorio en el marco de la cursada. </w:t>
      </w:r>
    </w:p>
    <w:p w:rsidR="00DA0693" w:rsidRPr="00F46D5E" w:rsidRDefault="00DA0693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0693" w:rsidRPr="00F46D5E" w:rsidRDefault="0025039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lastRenderedPageBreak/>
        <w:t>El promedio mínimo de cada una de estas instancias (</w:t>
      </w:r>
      <w:r w:rsidR="0007084B" w:rsidRPr="00F46D5E">
        <w:rPr>
          <w:rFonts w:ascii="Arial" w:hAnsi="Arial" w:cs="Arial"/>
        </w:rPr>
        <w:t>el portfolio,</w:t>
      </w:r>
      <w:r w:rsidR="00F46D5E"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 xml:space="preserve">las actividades extra-áulicas; </w:t>
      </w:r>
      <w:r w:rsidR="0007084B" w:rsidRPr="00F46D5E">
        <w:rPr>
          <w:rFonts w:ascii="Arial" w:hAnsi="Arial" w:cs="Arial"/>
        </w:rPr>
        <w:t>y</w:t>
      </w:r>
      <w:r w:rsidRPr="00F46D5E">
        <w:rPr>
          <w:rFonts w:ascii="Arial" w:hAnsi="Arial" w:cs="Arial"/>
        </w:rPr>
        <w:t xml:space="preserve"> l</w:t>
      </w:r>
      <w:r w:rsidR="0007084B" w:rsidRPr="00F46D5E">
        <w:rPr>
          <w:rFonts w:ascii="Arial" w:hAnsi="Arial" w:cs="Arial"/>
        </w:rPr>
        <w:t>os dos Trabajos Prácticos</w:t>
      </w:r>
      <w:r w:rsidRPr="00F46D5E">
        <w:rPr>
          <w:rFonts w:ascii="Arial" w:hAnsi="Arial" w:cs="Arial"/>
        </w:rPr>
        <w:t>), deberá ser de 7 puntos, con un mínimo de 6 (seis) puntos en cada una de ellas para la aprobación directa de la materia</w:t>
      </w:r>
      <w:r w:rsidR="00DA0693" w:rsidRPr="00F46D5E">
        <w:rPr>
          <w:rFonts w:ascii="Arial" w:hAnsi="Arial" w:cs="Arial"/>
        </w:rPr>
        <w:t>.</w:t>
      </w:r>
    </w:p>
    <w:p w:rsidR="00250392" w:rsidRPr="00F46D5E" w:rsidRDefault="0025039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0392" w:rsidRPr="00F46D5E" w:rsidRDefault="008A2F6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En caso que el</w:t>
      </w:r>
      <w:r w:rsidR="00FE33A7"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</w:t>
      </w:r>
      <w:r w:rsidR="00A05E09" w:rsidRPr="00F46D5E">
        <w:rPr>
          <w:rFonts w:ascii="Arial" w:hAnsi="Arial" w:cs="Arial"/>
        </w:rPr>
        <w:t>estudiante</w:t>
      </w:r>
      <w:r w:rsidRPr="00F46D5E">
        <w:rPr>
          <w:rFonts w:ascii="Arial" w:hAnsi="Arial" w:cs="Arial"/>
        </w:rPr>
        <w:t xml:space="preserve"> obtenga un mínimo de 4 puntos en cada instancia parcial de evaluación pero que no alcance el promedio 7 (siete) o que en alguna no alcance la calificación 6 (seis), se implementará la figura del examen integrador, en dos instancias: el primer integrador se realizará dentro de la cursada, y el segundo: antes del cierre de actas del cuatrimestre posterior al cierre del cursado, tal como lo establece la RESOLUCION (CS) Nº: 04/08.</w:t>
      </w:r>
    </w:p>
    <w:p w:rsidR="008A2F62" w:rsidRPr="00F46D5E" w:rsidRDefault="008A2F62" w:rsidP="00F46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2F62" w:rsidRPr="00F46D5E" w:rsidRDefault="008A2F62" w:rsidP="00F46D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C4B0A" w:rsidRPr="00F46D5E" w:rsidRDefault="008C4B0A" w:rsidP="00F46D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sectPr w:rsidR="008C4B0A" w:rsidRPr="00F46D5E" w:rsidSect="0009673C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D6" w:rsidRDefault="00C301D6" w:rsidP="009C3A2A">
      <w:pPr>
        <w:spacing w:after="0" w:line="240" w:lineRule="auto"/>
      </w:pPr>
      <w:r>
        <w:separator/>
      </w:r>
    </w:p>
  </w:endnote>
  <w:endnote w:type="continuationSeparator" w:id="1">
    <w:p w:rsidR="00C301D6" w:rsidRDefault="00C301D6" w:rsidP="009C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8390"/>
      <w:docPartObj>
        <w:docPartGallery w:val="Page Numbers (Bottom of Page)"/>
        <w:docPartUnique/>
      </w:docPartObj>
    </w:sdtPr>
    <w:sdtContent>
      <w:p w:rsidR="009C3A2A" w:rsidRDefault="001E24E7">
        <w:pPr>
          <w:pStyle w:val="Piedepgina"/>
          <w:jc w:val="right"/>
        </w:pPr>
        <w:r>
          <w:fldChar w:fldCharType="begin"/>
        </w:r>
        <w:r w:rsidR="00353806">
          <w:instrText xml:space="preserve"> PAGE   \* MERGEFORMAT </w:instrText>
        </w:r>
        <w:r>
          <w:fldChar w:fldCharType="separate"/>
        </w:r>
        <w:r w:rsidR="002956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3A2A" w:rsidRDefault="009C3A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D6" w:rsidRDefault="00C301D6" w:rsidP="009C3A2A">
      <w:pPr>
        <w:spacing w:after="0" w:line="240" w:lineRule="auto"/>
      </w:pPr>
      <w:r>
        <w:separator/>
      </w:r>
    </w:p>
  </w:footnote>
  <w:footnote w:type="continuationSeparator" w:id="1">
    <w:p w:rsidR="00C301D6" w:rsidRDefault="00C301D6" w:rsidP="009C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3489"/>
    <w:multiLevelType w:val="hybridMultilevel"/>
    <w:tmpl w:val="4ED25F62"/>
    <w:lvl w:ilvl="0" w:tplc="618834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8512F"/>
    <w:multiLevelType w:val="hybridMultilevel"/>
    <w:tmpl w:val="8D36C8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A3A26"/>
    <w:multiLevelType w:val="hybridMultilevel"/>
    <w:tmpl w:val="3252020E"/>
    <w:lvl w:ilvl="0" w:tplc="61883472">
      <w:start w:val="1"/>
      <w:numFmt w:val="bullet"/>
      <w:lvlText w:val="-"/>
      <w:lvlJc w:val="left"/>
      <w:pPr>
        <w:ind w:left="78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B1559D4"/>
    <w:multiLevelType w:val="hybridMultilevel"/>
    <w:tmpl w:val="4F5E52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D2E28"/>
    <w:multiLevelType w:val="hybridMultilevel"/>
    <w:tmpl w:val="F6048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B0A"/>
    <w:rsid w:val="00014251"/>
    <w:rsid w:val="000174B4"/>
    <w:rsid w:val="0007084B"/>
    <w:rsid w:val="0009673C"/>
    <w:rsid w:val="00115902"/>
    <w:rsid w:val="0012117C"/>
    <w:rsid w:val="00133756"/>
    <w:rsid w:val="00173885"/>
    <w:rsid w:val="001E24E7"/>
    <w:rsid w:val="002028E0"/>
    <w:rsid w:val="002174A1"/>
    <w:rsid w:val="00225078"/>
    <w:rsid w:val="00250392"/>
    <w:rsid w:val="00260EB1"/>
    <w:rsid w:val="00295614"/>
    <w:rsid w:val="002A349A"/>
    <w:rsid w:val="002B074C"/>
    <w:rsid w:val="003029AE"/>
    <w:rsid w:val="003147B7"/>
    <w:rsid w:val="00353806"/>
    <w:rsid w:val="003745B8"/>
    <w:rsid w:val="003B5B2D"/>
    <w:rsid w:val="003E0814"/>
    <w:rsid w:val="003E4367"/>
    <w:rsid w:val="003F67B5"/>
    <w:rsid w:val="00467ABF"/>
    <w:rsid w:val="004906BB"/>
    <w:rsid w:val="00493791"/>
    <w:rsid w:val="004A0619"/>
    <w:rsid w:val="004C19EF"/>
    <w:rsid w:val="004C2FEB"/>
    <w:rsid w:val="004D373A"/>
    <w:rsid w:val="004D3A64"/>
    <w:rsid w:val="00531678"/>
    <w:rsid w:val="00540F88"/>
    <w:rsid w:val="0057602A"/>
    <w:rsid w:val="005D5F9C"/>
    <w:rsid w:val="00676E82"/>
    <w:rsid w:val="006B5588"/>
    <w:rsid w:val="006D5391"/>
    <w:rsid w:val="006F3CE9"/>
    <w:rsid w:val="007119D0"/>
    <w:rsid w:val="0074013B"/>
    <w:rsid w:val="007719B2"/>
    <w:rsid w:val="007B09EF"/>
    <w:rsid w:val="007C71D8"/>
    <w:rsid w:val="007E165E"/>
    <w:rsid w:val="00810A30"/>
    <w:rsid w:val="00861682"/>
    <w:rsid w:val="008A2F62"/>
    <w:rsid w:val="008C4B0A"/>
    <w:rsid w:val="008D243D"/>
    <w:rsid w:val="008D57BF"/>
    <w:rsid w:val="00935FDB"/>
    <w:rsid w:val="00972BF8"/>
    <w:rsid w:val="009A3C39"/>
    <w:rsid w:val="009C3A2A"/>
    <w:rsid w:val="009E0386"/>
    <w:rsid w:val="00A031B9"/>
    <w:rsid w:val="00A03344"/>
    <w:rsid w:val="00A05E09"/>
    <w:rsid w:val="00A10AEB"/>
    <w:rsid w:val="00A168D1"/>
    <w:rsid w:val="00A21474"/>
    <w:rsid w:val="00AB53B6"/>
    <w:rsid w:val="00AE1C4B"/>
    <w:rsid w:val="00B15E29"/>
    <w:rsid w:val="00B83F40"/>
    <w:rsid w:val="00B90A87"/>
    <w:rsid w:val="00BB1A09"/>
    <w:rsid w:val="00BB3294"/>
    <w:rsid w:val="00C301D6"/>
    <w:rsid w:val="00C51E71"/>
    <w:rsid w:val="00C66602"/>
    <w:rsid w:val="00C76CBB"/>
    <w:rsid w:val="00CB6D57"/>
    <w:rsid w:val="00CC55C6"/>
    <w:rsid w:val="00D02A8D"/>
    <w:rsid w:val="00D175CC"/>
    <w:rsid w:val="00D907E2"/>
    <w:rsid w:val="00DA0693"/>
    <w:rsid w:val="00DD0A44"/>
    <w:rsid w:val="00E12432"/>
    <w:rsid w:val="00E305B9"/>
    <w:rsid w:val="00E400A9"/>
    <w:rsid w:val="00EA0037"/>
    <w:rsid w:val="00F34710"/>
    <w:rsid w:val="00F400FD"/>
    <w:rsid w:val="00F46D5E"/>
    <w:rsid w:val="00F47D19"/>
    <w:rsid w:val="00FB0768"/>
    <w:rsid w:val="00FD7EED"/>
    <w:rsid w:val="00FE3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6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0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C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A2A"/>
  </w:style>
  <w:style w:type="paragraph" w:styleId="Piedepgina">
    <w:name w:val="footer"/>
    <w:basedOn w:val="Normal"/>
    <w:link w:val="PiedepginaCar"/>
    <w:uiPriority w:val="99"/>
    <w:unhideWhenUsed/>
    <w:rsid w:val="009C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A2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14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1474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A2147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51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6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0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C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A2A"/>
  </w:style>
  <w:style w:type="paragraph" w:styleId="Piedepgina">
    <w:name w:val="footer"/>
    <w:basedOn w:val="Normal"/>
    <w:link w:val="PiedepginaCar"/>
    <w:uiPriority w:val="99"/>
    <w:unhideWhenUsed/>
    <w:rsid w:val="009C3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A2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14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1474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A2147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51E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uq.uquebec.ca/diversci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deon.com.a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deon.com.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deon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oei.org/rie46a0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084B-5C47-4550-AC33-C32C9E83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1987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manuel.eiras</cp:lastModifiedBy>
  <cp:revision>7</cp:revision>
  <dcterms:created xsi:type="dcterms:W3CDTF">2016-12-07T15:06:00Z</dcterms:created>
  <dcterms:modified xsi:type="dcterms:W3CDTF">2017-03-27T19:31:00Z</dcterms:modified>
</cp:coreProperties>
</file>