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63DF" w:rsidRDefault="00C463DF" w:rsidP="00D22518">
      <w:pPr>
        <w:pStyle w:val="normal0"/>
        <w:rPr>
          <w:rFonts w:ascii="Arial" w:eastAsia="Garamond" w:hAnsi="Arial" w:cs="Arial"/>
          <w:b/>
        </w:rPr>
      </w:pPr>
      <w:r>
        <w:rPr>
          <w:rFonts w:ascii="Arial" w:eastAsia="Garamond" w:hAnsi="Arial" w:cs="Arial"/>
          <w:b/>
        </w:rPr>
        <w:t>Eje temático:</w:t>
      </w:r>
      <w:r w:rsidRPr="00CC23AE">
        <w:rPr>
          <w:rFonts w:ascii="Arial" w:eastAsia="Garamond" w:hAnsi="Arial" w:cs="Arial"/>
        </w:rPr>
        <w:t xml:space="preserve"> Políticas Públicas y Marco Legal</w:t>
      </w:r>
    </w:p>
    <w:p w:rsidR="00C463DF" w:rsidRPr="00CC23AE" w:rsidRDefault="00C463DF" w:rsidP="00D22518">
      <w:pPr>
        <w:pStyle w:val="normal0"/>
        <w:rPr>
          <w:rFonts w:ascii="Arial" w:eastAsia="Garamond" w:hAnsi="Arial" w:cs="Arial"/>
        </w:rPr>
      </w:pPr>
      <w:r>
        <w:rPr>
          <w:rFonts w:ascii="Arial" w:eastAsia="Garamond" w:hAnsi="Arial" w:cs="Arial"/>
          <w:b/>
        </w:rPr>
        <w:t>Tipo de proyecto:</w:t>
      </w:r>
      <w:r w:rsidRPr="00CC23AE">
        <w:rPr>
          <w:rFonts w:ascii="Arial" w:eastAsia="Garamond" w:hAnsi="Arial" w:cs="Arial"/>
        </w:rPr>
        <w:t xml:space="preserve"> Investigación</w:t>
      </w:r>
    </w:p>
    <w:p w:rsidR="00C463DF" w:rsidRDefault="002331B4" w:rsidP="00D22518">
      <w:pPr>
        <w:pStyle w:val="normal0"/>
        <w:rPr>
          <w:rFonts w:ascii="Arial" w:eastAsia="Garamond" w:hAnsi="Arial" w:cs="Arial"/>
          <w:b/>
        </w:rPr>
      </w:pPr>
      <w:r w:rsidRPr="00670AB5">
        <w:rPr>
          <w:rFonts w:ascii="Arial" w:eastAsia="Garamond" w:hAnsi="Arial" w:cs="Arial"/>
          <w:b/>
        </w:rPr>
        <w:t>Macarena Sabin Paz</w:t>
      </w:r>
      <w:r w:rsidR="00C463DF">
        <w:rPr>
          <w:rFonts w:ascii="Arial" w:eastAsia="Garamond" w:hAnsi="Arial" w:cs="Arial"/>
        </w:rPr>
        <w:t>.</w:t>
      </w:r>
      <w:r w:rsidR="00C463DF" w:rsidRPr="00C463DF">
        <w:rPr>
          <w:rFonts w:ascii="Arial" w:eastAsia="Garamond" w:hAnsi="Arial" w:cs="Arial"/>
        </w:rPr>
        <w:t xml:space="preserve"> </w:t>
      </w:r>
      <w:r w:rsidR="00596E3B">
        <w:rPr>
          <w:rFonts w:ascii="Arial" w:eastAsia="Garamond" w:hAnsi="Arial" w:cs="Arial"/>
        </w:rPr>
        <w:t>24</w:t>
      </w:r>
      <w:r w:rsidR="003445C9">
        <w:rPr>
          <w:rFonts w:ascii="Arial" w:eastAsia="Garamond" w:hAnsi="Arial" w:cs="Arial"/>
        </w:rPr>
        <w:t>.</w:t>
      </w:r>
      <w:r w:rsidR="00596E3B">
        <w:rPr>
          <w:rFonts w:ascii="Arial" w:eastAsia="Garamond" w:hAnsi="Arial" w:cs="Arial"/>
        </w:rPr>
        <w:t>717</w:t>
      </w:r>
      <w:r w:rsidR="003445C9">
        <w:rPr>
          <w:rFonts w:ascii="Arial" w:eastAsia="Garamond" w:hAnsi="Arial" w:cs="Arial"/>
        </w:rPr>
        <w:t>.</w:t>
      </w:r>
      <w:r w:rsidR="00596E3B">
        <w:rPr>
          <w:rFonts w:ascii="Arial" w:eastAsia="Garamond" w:hAnsi="Arial" w:cs="Arial"/>
        </w:rPr>
        <w:t>756</w:t>
      </w:r>
      <w:r w:rsidR="00C463DF">
        <w:rPr>
          <w:rFonts w:ascii="Arial" w:eastAsia="Garamond" w:hAnsi="Arial" w:cs="Arial"/>
        </w:rPr>
        <w:t>. Licenciada en Psicología (UBA). Coordinadora del Equipo de Salud Mental del Centro de Estudios Legales y Sociales</w:t>
      </w:r>
      <w:r w:rsidR="00786844">
        <w:rPr>
          <w:rFonts w:ascii="Arial" w:eastAsia="Garamond" w:hAnsi="Arial" w:cs="Arial"/>
        </w:rPr>
        <w:t xml:space="preserve"> (CELS)</w:t>
      </w:r>
      <w:r w:rsidR="00C463DF">
        <w:rPr>
          <w:rFonts w:ascii="Arial" w:eastAsia="Garamond" w:hAnsi="Arial" w:cs="Arial"/>
        </w:rPr>
        <w:t xml:space="preserve">. </w:t>
      </w:r>
      <w:hyperlink r:id="rId8" w:history="1">
        <w:r w:rsidR="00596E3B" w:rsidRPr="00F31A92">
          <w:rPr>
            <w:rStyle w:val="Hipervnculo"/>
            <w:rFonts w:ascii="Arial" w:eastAsia="Garamond" w:hAnsi="Arial" w:cs="Arial"/>
          </w:rPr>
          <w:t>msabinpaz@cels.org.ar</w:t>
        </w:r>
      </w:hyperlink>
      <w:r w:rsidR="00596E3B">
        <w:rPr>
          <w:rFonts w:ascii="Arial" w:eastAsia="Garamond" w:hAnsi="Arial" w:cs="Arial"/>
        </w:rPr>
        <w:t xml:space="preserve"> </w:t>
      </w:r>
    </w:p>
    <w:p w:rsidR="00C463DF" w:rsidRDefault="002331B4" w:rsidP="00D22518">
      <w:pPr>
        <w:pStyle w:val="normal0"/>
        <w:rPr>
          <w:rFonts w:ascii="Arial" w:eastAsia="Garamond" w:hAnsi="Arial" w:cs="Arial"/>
        </w:rPr>
      </w:pPr>
      <w:r w:rsidRPr="00670AB5">
        <w:rPr>
          <w:rFonts w:ascii="Arial" w:eastAsia="Garamond" w:hAnsi="Arial" w:cs="Arial"/>
          <w:b/>
        </w:rPr>
        <w:t>Víctor Manuel Rodríguez</w:t>
      </w:r>
      <w:r w:rsidR="00C463DF">
        <w:rPr>
          <w:rFonts w:ascii="Arial" w:eastAsia="Garamond" w:hAnsi="Arial" w:cs="Arial"/>
          <w:b/>
        </w:rPr>
        <w:t>.</w:t>
      </w:r>
      <w:r w:rsidR="00C463DF" w:rsidRPr="00C463DF">
        <w:rPr>
          <w:rFonts w:ascii="Arial" w:eastAsia="Garamond" w:hAnsi="Arial" w:cs="Arial"/>
        </w:rPr>
        <w:t xml:space="preserve"> 94.458.512. Licenciado en Psicología</w:t>
      </w:r>
      <w:r w:rsidR="00C463DF">
        <w:rPr>
          <w:rFonts w:ascii="Arial" w:eastAsia="Garamond" w:hAnsi="Arial" w:cs="Arial"/>
        </w:rPr>
        <w:t xml:space="preserve"> (UCV)</w:t>
      </w:r>
      <w:r w:rsidR="00C463DF" w:rsidRPr="00C463DF">
        <w:rPr>
          <w:rFonts w:ascii="Arial" w:eastAsia="Garamond" w:hAnsi="Arial" w:cs="Arial"/>
        </w:rPr>
        <w:t xml:space="preserve">. Psicólogo del </w:t>
      </w:r>
      <w:r w:rsidR="00C463DF">
        <w:rPr>
          <w:rFonts w:ascii="Arial" w:eastAsia="Garamond" w:hAnsi="Arial" w:cs="Arial"/>
        </w:rPr>
        <w:t>Equipo de Salud Mental del Centro de Estudios Legales y Sociales</w:t>
      </w:r>
      <w:r w:rsidR="00786844">
        <w:rPr>
          <w:rFonts w:ascii="Arial" w:eastAsia="Garamond" w:hAnsi="Arial" w:cs="Arial"/>
        </w:rPr>
        <w:t xml:space="preserve"> (CELS)</w:t>
      </w:r>
      <w:r w:rsidR="00C463DF">
        <w:rPr>
          <w:rFonts w:ascii="Arial" w:eastAsia="Garamond" w:hAnsi="Arial" w:cs="Arial"/>
        </w:rPr>
        <w:t xml:space="preserve">. </w:t>
      </w:r>
      <w:hyperlink r:id="rId9" w:history="1">
        <w:r w:rsidR="00596E3B" w:rsidRPr="00F31A92">
          <w:rPr>
            <w:rStyle w:val="Hipervnculo"/>
            <w:rFonts w:ascii="Arial" w:eastAsia="Garamond" w:hAnsi="Arial" w:cs="Arial"/>
          </w:rPr>
          <w:t>vrodriguez@cels.org.ar</w:t>
        </w:r>
      </w:hyperlink>
      <w:r w:rsidR="00596E3B">
        <w:rPr>
          <w:rFonts w:ascii="Arial" w:eastAsia="Garamond" w:hAnsi="Arial" w:cs="Arial"/>
        </w:rPr>
        <w:t xml:space="preserve"> </w:t>
      </w:r>
    </w:p>
    <w:p w:rsidR="003445C9" w:rsidRPr="00670AB5" w:rsidRDefault="003445C9" w:rsidP="00D22518">
      <w:pPr>
        <w:pStyle w:val="normal0"/>
        <w:rPr>
          <w:rFonts w:ascii="Arial" w:hAnsi="Arial" w:cs="Arial"/>
        </w:rPr>
      </w:pPr>
      <w:r>
        <w:rPr>
          <w:rFonts w:ascii="Arial" w:eastAsia="Garamond" w:hAnsi="Arial" w:cs="Arial"/>
          <w:b/>
        </w:rPr>
        <w:t>Título:</w:t>
      </w:r>
      <w:r w:rsidRPr="00CC23AE">
        <w:rPr>
          <w:rFonts w:ascii="Arial" w:eastAsia="Garamond" w:hAnsi="Arial" w:cs="Arial"/>
        </w:rPr>
        <w:t xml:space="preserve"> Cruzar el muro: desafíos y propuestas para la externación del manicomio</w:t>
      </w:r>
    </w:p>
    <w:p w:rsidR="003445C9" w:rsidRDefault="003445C9" w:rsidP="00D22518">
      <w:pPr>
        <w:pStyle w:val="normal0"/>
        <w:rPr>
          <w:rFonts w:ascii="Arial" w:eastAsia="Garamond" w:hAnsi="Arial" w:cs="Arial"/>
          <w:b/>
        </w:rPr>
      </w:pPr>
      <w:r w:rsidRPr="003445C9">
        <w:rPr>
          <w:rFonts w:ascii="Arial" w:eastAsia="Garamond" w:hAnsi="Arial" w:cs="Arial"/>
          <w:b/>
        </w:rPr>
        <w:t>Palabras clave:</w:t>
      </w:r>
      <w:r>
        <w:rPr>
          <w:rFonts w:ascii="Arial" w:eastAsia="Garamond" w:hAnsi="Arial" w:cs="Arial"/>
        </w:rPr>
        <w:t xml:space="preserve"> </w:t>
      </w:r>
      <w:r w:rsidRPr="00670AB5">
        <w:rPr>
          <w:rFonts w:ascii="Arial" w:eastAsia="Garamond" w:hAnsi="Arial" w:cs="Arial"/>
        </w:rPr>
        <w:t>Discapacidad psicosocial, externación, derechos humanos.</w:t>
      </w:r>
    </w:p>
    <w:p w:rsidR="003643EF" w:rsidRPr="00670AB5" w:rsidRDefault="002331B4" w:rsidP="00D22518">
      <w:pPr>
        <w:pStyle w:val="normal0"/>
        <w:spacing w:line="360" w:lineRule="auto"/>
        <w:jc w:val="center"/>
        <w:rPr>
          <w:rFonts w:ascii="Arial" w:hAnsi="Arial" w:cs="Arial"/>
        </w:rPr>
      </w:pPr>
      <w:r w:rsidRPr="00670AB5">
        <w:rPr>
          <w:rFonts w:ascii="Arial" w:eastAsia="Garamond" w:hAnsi="Arial" w:cs="Arial"/>
          <w:b/>
        </w:rPr>
        <w:t>Resumen</w:t>
      </w:r>
    </w:p>
    <w:p w:rsidR="003643EF" w:rsidRPr="00D22518" w:rsidRDefault="002331B4" w:rsidP="00D22518">
      <w:pPr>
        <w:pStyle w:val="normal0"/>
        <w:spacing w:line="360" w:lineRule="auto"/>
        <w:rPr>
          <w:rFonts w:ascii="Arial" w:eastAsia="Garamond" w:hAnsi="Arial" w:cs="Arial"/>
        </w:rPr>
      </w:pPr>
      <w:r w:rsidRPr="00D22518">
        <w:rPr>
          <w:rFonts w:ascii="Arial" w:eastAsia="Garamond" w:hAnsi="Arial" w:cs="Arial"/>
        </w:rPr>
        <w:tab/>
        <w:t>La consolidación de la agenda de trabajo del CELS sobre los derechos de las personas con discapacidad psicosocial, y la complejidad de esta temática, generó la necesidad de</w:t>
      </w:r>
      <w:r w:rsidR="00F77549">
        <w:rPr>
          <w:rFonts w:ascii="Arial" w:eastAsia="Garamond" w:hAnsi="Arial" w:cs="Arial"/>
        </w:rPr>
        <w:t xml:space="preserve"> investigar</w:t>
      </w:r>
      <w:r w:rsidRPr="00D22518">
        <w:rPr>
          <w:rFonts w:ascii="Arial" w:eastAsia="Garamond" w:hAnsi="Arial" w:cs="Arial"/>
        </w:rPr>
        <w:t xml:space="preserve"> los determinantes sociales que condicionan la externación</w:t>
      </w:r>
      <w:r w:rsidR="00F77549">
        <w:rPr>
          <w:rFonts w:ascii="Arial" w:eastAsia="Garamond" w:hAnsi="Arial" w:cs="Arial"/>
        </w:rPr>
        <w:t xml:space="preserve"> sustentable</w:t>
      </w:r>
      <w:r w:rsidRPr="00D22518">
        <w:rPr>
          <w:rFonts w:ascii="Arial" w:eastAsia="Garamond" w:hAnsi="Arial" w:cs="Arial"/>
        </w:rPr>
        <w:t xml:space="preserve"> de personas que han vivido largos procesos de institucionalización.</w:t>
      </w:r>
      <w:r w:rsidR="00F77549">
        <w:rPr>
          <w:rFonts w:ascii="Arial" w:eastAsia="Garamond" w:hAnsi="Arial" w:cs="Arial"/>
        </w:rPr>
        <w:t xml:space="preserve"> Durante 2013 y 2014</w:t>
      </w:r>
      <w:r w:rsidR="00A267A1">
        <w:rPr>
          <w:rFonts w:ascii="Arial" w:eastAsia="Garamond" w:hAnsi="Arial" w:cs="Arial"/>
        </w:rPr>
        <w:t>, el CELS junto a contrapartes locales</w:t>
      </w:r>
      <w:r w:rsidR="00F77549">
        <w:rPr>
          <w:rFonts w:ascii="Arial" w:eastAsia="Garamond" w:hAnsi="Arial" w:cs="Arial"/>
        </w:rPr>
        <w:t xml:space="preserve"> realiz</w:t>
      </w:r>
      <w:r w:rsidR="00A267A1">
        <w:rPr>
          <w:rFonts w:ascii="Arial" w:eastAsia="Garamond" w:hAnsi="Arial" w:cs="Arial"/>
        </w:rPr>
        <w:t>aron</w:t>
      </w:r>
      <w:r w:rsidR="00F77549">
        <w:rPr>
          <w:rFonts w:ascii="Arial" w:eastAsia="Garamond" w:hAnsi="Arial" w:cs="Arial"/>
        </w:rPr>
        <w:t xml:space="preserve"> un amplio trabajo de campo</w:t>
      </w:r>
      <w:r w:rsidR="00786844">
        <w:rPr>
          <w:rFonts w:ascii="Arial" w:eastAsia="Garamond" w:hAnsi="Arial" w:cs="Arial"/>
        </w:rPr>
        <w:t>;</w:t>
      </w:r>
      <w:r w:rsidR="00F77549">
        <w:rPr>
          <w:rFonts w:ascii="Arial" w:eastAsia="Garamond" w:hAnsi="Arial" w:cs="Arial"/>
        </w:rPr>
        <w:t xml:space="preserve"> durante 2015 se procesó</w:t>
      </w:r>
      <w:r w:rsidR="00786844">
        <w:rPr>
          <w:rFonts w:ascii="Arial" w:eastAsia="Garamond" w:hAnsi="Arial" w:cs="Arial"/>
        </w:rPr>
        <w:t xml:space="preserve"> y</w:t>
      </w:r>
      <w:r w:rsidR="00F77549">
        <w:rPr>
          <w:rFonts w:ascii="Arial" w:eastAsia="Garamond" w:hAnsi="Arial" w:cs="Arial"/>
        </w:rPr>
        <w:t xml:space="preserve"> analizó</w:t>
      </w:r>
      <w:r w:rsidR="00786844">
        <w:rPr>
          <w:rFonts w:ascii="Arial" w:eastAsia="Garamond" w:hAnsi="Arial" w:cs="Arial"/>
        </w:rPr>
        <w:t xml:space="preserve"> la información recabada</w:t>
      </w:r>
      <w:r w:rsidR="00F77549">
        <w:rPr>
          <w:rFonts w:ascii="Arial" w:eastAsia="Garamond" w:hAnsi="Arial" w:cs="Arial"/>
        </w:rPr>
        <w:t xml:space="preserve"> y </w:t>
      </w:r>
      <w:r w:rsidR="00786844">
        <w:rPr>
          <w:rFonts w:ascii="Arial" w:eastAsia="Garamond" w:hAnsi="Arial" w:cs="Arial"/>
        </w:rPr>
        <w:t>se editó y publicó el libro</w:t>
      </w:r>
      <w:r w:rsidR="00F77549">
        <w:rPr>
          <w:rFonts w:ascii="Arial" w:eastAsia="Garamond" w:hAnsi="Arial" w:cs="Arial"/>
        </w:rPr>
        <w:t xml:space="preserve"> </w:t>
      </w:r>
      <w:r w:rsidR="00786844">
        <w:rPr>
          <w:rFonts w:ascii="Arial" w:eastAsia="Garamond" w:hAnsi="Arial" w:cs="Arial"/>
        </w:rPr>
        <w:t>titul</w:t>
      </w:r>
      <w:r w:rsidR="00F77549">
        <w:rPr>
          <w:rFonts w:ascii="Arial" w:eastAsia="Garamond" w:hAnsi="Arial" w:cs="Arial"/>
        </w:rPr>
        <w:t xml:space="preserve">ado </w:t>
      </w:r>
      <w:r w:rsidR="00F77549" w:rsidRPr="00F77549">
        <w:rPr>
          <w:rFonts w:ascii="Arial" w:eastAsia="Garamond" w:hAnsi="Arial" w:cs="Arial"/>
          <w:i/>
        </w:rPr>
        <w:t>“Cruzar el muro: desafíos y propuestas para la externación del manicomio”</w:t>
      </w:r>
      <w:r w:rsidRPr="00D22518">
        <w:rPr>
          <w:rFonts w:ascii="Arial" w:eastAsia="Garamond" w:hAnsi="Arial" w:cs="Arial"/>
        </w:rPr>
        <w:t>.</w:t>
      </w:r>
      <w:r w:rsidR="00312A51">
        <w:rPr>
          <w:rStyle w:val="Refdenotaalpie"/>
          <w:rFonts w:ascii="Arial" w:eastAsia="Garamond" w:hAnsi="Arial" w:cs="Arial"/>
        </w:rPr>
        <w:footnoteReference w:id="1"/>
      </w:r>
    </w:p>
    <w:p w:rsidR="003643EF" w:rsidRPr="00D22518" w:rsidRDefault="002331B4" w:rsidP="00D22518">
      <w:pPr>
        <w:pStyle w:val="normal0"/>
        <w:spacing w:line="360" w:lineRule="auto"/>
        <w:ind w:firstLine="708"/>
        <w:rPr>
          <w:rFonts w:ascii="Arial" w:eastAsia="Garamond" w:hAnsi="Arial" w:cs="Arial"/>
        </w:rPr>
      </w:pPr>
      <w:r w:rsidRPr="00D22518">
        <w:rPr>
          <w:rFonts w:ascii="Arial" w:eastAsia="Garamond" w:hAnsi="Arial" w:cs="Arial"/>
        </w:rPr>
        <w:t xml:space="preserve">La investigación consistió en entrevistas a 266 personas usuarias de dispositivos de externación de hospitales psiquiátricos en la Ciudad Autónoma de Buenos Aires y las Provincias de Buenos Aires, Córdoba y Mendoza, y a funcionarios públicos y trabajadores de dichos dispositivos. Lo reportado en las entrevistas fue contrastado con un sistema de indicadores construido mediante el relevamiento de estándares de derechos a nivel </w:t>
      </w:r>
      <w:r w:rsidR="00312A51">
        <w:rPr>
          <w:rFonts w:ascii="Arial" w:eastAsia="Garamond" w:hAnsi="Arial" w:cs="Arial"/>
        </w:rPr>
        <w:t>local</w:t>
      </w:r>
      <w:r w:rsidRPr="00D22518">
        <w:rPr>
          <w:rFonts w:ascii="Arial" w:eastAsia="Garamond" w:hAnsi="Arial" w:cs="Arial"/>
        </w:rPr>
        <w:t xml:space="preserve"> e internacional, organizados en dimensiones (aspectos que componen a cada derecho, p. e. accesibilidad, disponibilidad, calidad, impacto en la vida autónoma y en comunidad, etc.). De ese entrecruzamiento emergieron las barreras específicas identificadas en la vida cotidiana de las personas en proceso de externación, y son las que marcan </w:t>
      </w:r>
      <w:r w:rsidR="00A267A1" w:rsidRPr="00D22518">
        <w:rPr>
          <w:rFonts w:ascii="Arial" w:eastAsia="Garamond" w:hAnsi="Arial" w:cs="Arial"/>
        </w:rPr>
        <w:t>trayectorias</w:t>
      </w:r>
      <w:r w:rsidRPr="00D22518">
        <w:rPr>
          <w:rFonts w:ascii="Arial" w:eastAsia="Garamond" w:hAnsi="Arial" w:cs="Arial"/>
        </w:rPr>
        <w:t xml:space="preserve"> específic</w:t>
      </w:r>
      <w:r w:rsidR="00A267A1">
        <w:rPr>
          <w:rFonts w:ascii="Arial" w:eastAsia="Garamond" w:hAnsi="Arial" w:cs="Arial"/>
        </w:rPr>
        <w:t>a</w:t>
      </w:r>
      <w:r w:rsidRPr="00D22518">
        <w:rPr>
          <w:rFonts w:ascii="Arial" w:eastAsia="Garamond" w:hAnsi="Arial" w:cs="Arial"/>
        </w:rPr>
        <w:t>s para el diseño e implementación de políticas públicas en la materia.</w:t>
      </w:r>
    </w:p>
    <w:p w:rsidR="003643EF" w:rsidRPr="00D22518" w:rsidRDefault="002331B4" w:rsidP="00D22518">
      <w:pPr>
        <w:pStyle w:val="normal0"/>
        <w:spacing w:line="360" w:lineRule="auto"/>
        <w:ind w:firstLine="708"/>
        <w:rPr>
          <w:rFonts w:ascii="Arial" w:eastAsia="Garamond" w:hAnsi="Arial" w:cs="Arial"/>
        </w:rPr>
      </w:pPr>
      <w:r w:rsidRPr="00D22518">
        <w:rPr>
          <w:rFonts w:ascii="Arial" w:eastAsia="Garamond" w:hAnsi="Arial" w:cs="Arial"/>
        </w:rPr>
        <w:t xml:space="preserve">El hallazgo general de la investigación es que en ninguna dimensión de ninguno de los derechos explorados, las personas entrevistadas contaban con un nivel óptimo de goce de los mismos. Incluso quienes manifestaban condiciones de vida más dignas, lograron alcanzarla por medio de una política pública estatal sólida y coherente, sino más bien por la articulación </w:t>
      </w:r>
      <w:r w:rsidRPr="00D22518">
        <w:rPr>
          <w:rFonts w:ascii="Arial" w:eastAsia="Garamond" w:hAnsi="Arial" w:cs="Arial"/>
        </w:rPr>
        <w:lastRenderedPageBreak/>
        <w:t>virtuosa de sus recursos personales y el apoyo de allegados y profesionales de la salud mental comprometidos.</w:t>
      </w:r>
    </w:p>
    <w:p w:rsidR="003643EF" w:rsidRPr="00D22518" w:rsidRDefault="002331B4" w:rsidP="00D22518">
      <w:pPr>
        <w:pStyle w:val="normal0"/>
        <w:spacing w:line="360" w:lineRule="auto"/>
        <w:rPr>
          <w:rFonts w:ascii="Arial" w:eastAsia="Garamond" w:hAnsi="Arial" w:cs="Arial"/>
        </w:rPr>
      </w:pPr>
      <w:r w:rsidRPr="00D22518">
        <w:rPr>
          <w:rFonts w:ascii="Arial" w:eastAsia="Garamond" w:hAnsi="Arial" w:cs="Arial"/>
        </w:rPr>
        <w:tab/>
        <w:t>Como con otros colectivos estructuralmente discriminados y excluidos, observamos que el análisis facilista justifica que sus condiciones de vida son el resultado de algo inherente a estas personas</w:t>
      </w:r>
      <w:r w:rsidR="002171CA">
        <w:rPr>
          <w:rFonts w:ascii="Arial" w:eastAsia="Garamond" w:hAnsi="Arial" w:cs="Arial"/>
        </w:rPr>
        <w:t xml:space="preserve">, relacionado al </w:t>
      </w:r>
      <w:r w:rsidRPr="00D22518">
        <w:rPr>
          <w:rFonts w:ascii="Arial" w:eastAsia="Garamond" w:hAnsi="Arial" w:cs="Arial"/>
        </w:rPr>
        <w:t>diagnóstico psiquiátrico. Sin embargo, e</w:t>
      </w:r>
      <w:r w:rsidR="00A267A1">
        <w:rPr>
          <w:rFonts w:ascii="Arial" w:eastAsia="Garamond" w:hAnsi="Arial" w:cs="Arial"/>
        </w:rPr>
        <w:t>videncia</w:t>
      </w:r>
      <w:r w:rsidRPr="00D22518">
        <w:rPr>
          <w:rFonts w:ascii="Arial" w:eastAsia="Garamond" w:hAnsi="Arial" w:cs="Arial"/>
        </w:rPr>
        <w:t>mos que cualquier situación particular toma sentido, se agrava y se sostiene por el medio social de referencia. Ningún deterioro en las condiciones particulares puede pensarse por fuera de las violencias, precariedades y expulsiones que la persona ha tenido que sufrir a lo largo de su vida, muchas de ellas ejecutadas directamente por el Estado o con su aquiescencia.</w:t>
      </w:r>
    </w:p>
    <w:p w:rsidR="00D22518" w:rsidRDefault="002331B4" w:rsidP="00D22518">
      <w:pPr>
        <w:pStyle w:val="normal0"/>
        <w:spacing w:before="100" w:after="100" w:line="360" w:lineRule="auto"/>
        <w:ind w:firstLine="708"/>
        <w:rPr>
          <w:rFonts w:ascii="Arial" w:eastAsia="Garamond" w:hAnsi="Arial" w:cs="Arial"/>
        </w:rPr>
      </w:pPr>
      <w:r w:rsidRPr="00D22518">
        <w:rPr>
          <w:rFonts w:ascii="Arial" w:eastAsia="Garamond" w:hAnsi="Arial" w:cs="Arial"/>
        </w:rPr>
        <w:t>En este marco analítico, considerando la institucionalización manicomial como una vulneración amplia y estructural a los derechos humanos, sostenemos que la externación no es únicamente un</w:t>
      </w:r>
      <w:r w:rsidR="00A267A1">
        <w:rPr>
          <w:rFonts w:ascii="Arial" w:eastAsia="Garamond" w:hAnsi="Arial" w:cs="Arial"/>
        </w:rPr>
        <w:t xml:space="preserve"> dispositivo</w:t>
      </w:r>
      <w:r w:rsidRPr="00D22518">
        <w:rPr>
          <w:rFonts w:ascii="Arial" w:eastAsia="Garamond" w:hAnsi="Arial" w:cs="Arial"/>
        </w:rPr>
        <w:t xml:space="preserve"> de salud entre otr</w:t>
      </w:r>
      <w:r w:rsidR="00A267A1">
        <w:rPr>
          <w:rFonts w:ascii="Arial" w:eastAsia="Garamond" w:hAnsi="Arial" w:cs="Arial"/>
        </w:rPr>
        <w:t>o</w:t>
      </w:r>
      <w:r w:rsidRPr="00D22518">
        <w:rPr>
          <w:rFonts w:ascii="Arial" w:eastAsia="Garamond" w:hAnsi="Arial" w:cs="Arial"/>
        </w:rPr>
        <w:t>s posibles, sino la vía fundamental para la sustitución definitiva de los hospitales monovalentes por dispositivos centrados en la comunidad, como lo ordena la Ley Nacional 26.657</w:t>
      </w:r>
      <w:r w:rsidR="00A267A1">
        <w:rPr>
          <w:rFonts w:ascii="Arial" w:eastAsia="Garamond" w:hAnsi="Arial" w:cs="Arial"/>
        </w:rPr>
        <w:t>, y en tanto un mecanismo de garantía y protección de derechos fundamentales</w:t>
      </w:r>
      <w:r w:rsidRPr="00D22518">
        <w:rPr>
          <w:rFonts w:ascii="Arial" w:eastAsia="Garamond" w:hAnsi="Arial" w:cs="Arial"/>
        </w:rPr>
        <w:t>.</w:t>
      </w:r>
    </w:p>
    <w:p w:rsidR="003643EF" w:rsidRPr="00D22518" w:rsidRDefault="002331B4" w:rsidP="00D22518">
      <w:pPr>
        <w:pStyle w:val="normal0"/>
        <w:spacing w:before="100" w:after="100" w:line="360" w:lineRule="auto"/>
        <w:ind w:firstLine="708"/>
        <w:rPr>
          <w:rFonts w:ascii="Arial" w:eastAsia="Garamond" w:hAnsi="Arial" w:cs="Arial"/>
        </w:rPr>
      </w:pPr>
      <w:r w:rsidRPr="00D22518">
        <w:rPr>
          <w:rFonts w:ascii="Arial" w:eastAsia="Garamond" w:hAnsi="Arial" w:cs="Arial"/>
        </w:rPr>
        <w:t xml:space="preserve">La externación no debe circunscribirse </w:t>
      </w:r>
      <w:proofErr w:type="gramStart"/>
      <w:r w:rsidRPr="00D22518">
        <w:rPr>
          <w:rFonts w:ascii="Arial" w:eastAsia="Garamond" w:hAnsi="Arial" w:cs="Arial"/>
        </w:rPr>
        <w:t>al</w:t>
      </w:r>
      <w:proofErr w:type="gramEnd"/>
      <w:r w:rsidRPr="00D22518">
        <w:rPr>
          <w:rFonts w:ascii="Arial" w:eastAsia="Garamond" w:hAnsi="Arial" w:cs="Arial"/>
        </w:rPr>
        <w:t xml:space="preserve"> alta médica, tampoco puede convertirse en un instrumento para la expulsión compulsiva, ni en un artilugio de trans-institucionalización hacia algún espacio similar. Como </w:t>
      </w:r>
      <w:r w:rsidR="00A267A1">
        <w:rPr>
          <w:rFonts w:ascii="Arial" w:eastAsia="Garamond" w:hAnsi="Arial" w:cs="Arial"/>
        </w:rPr>
        <w:t>acción</w:t>
      </w:r>
      <w:r w:rsidRPr="00D22518">
        <w:rPr>
          <w:rFonts w:ascii="Arial" w:eastAsia="Garamond" w:hAnsi="Arial" w:cs="Arial"/>
        </w:rPr>
        <w:t xml:space="preserve"> del Estado</w:t>
      </w:r>
      <w:r w:rsidR="00A267A1">
        <w:rPr>
          <w:rFonts w:ascii="Arial" w:eastAsia="Garamond" w:hAnsi="Arial" w:cs="Arial"/>
        </w:rPr>
        <w:t>,</w:t>
      </w:r>
      <w:r w:rsidRPr="00D22518">
        <w:rPr>
          <w:rFonts w:ascii="Arial" w:eastAsia="Garamond" w:hAnsi="Arial" w:cs="Arial"/>
        </w:rPr>
        <w:t xml:space="preserve"> debe ejecutarse en forma compatible con el resto de las disposiciones normativas que garantizan derechos.</w:t>
      </w:r>
    </w:p>
    <w:p w:rsidR="003643EF" w:rsidRPr="00D22518" w:rsidRDefault="002331B4" w:rsidP="00D22518">
      <w:pPr>
        <w:pStyle w:val="normal0"/>
        <w:spacing w:line="360" w:lineRule="auto"/>
        <w:rPr>
          <w:rFonts w:ascii="Arial" w:eastAsia="Garamond" w:hAnsi="Arial" w:cs="Arial"/>
        </w:rPr>
      </w:pPr>
      <w:r w:rsidRPr="00D22518">
        <w:rPr>
          <w:rFonts w:ascii="Arial" w:eastAsia="Garamond" w:hAnsi="Arial" w:cs="Arial"/>
        </w:rPr>
        <w:tab/>
        <w:t>El trabajo que materializa e</w:t>
      </w:r>
      <w:r w:rsidR="00DF1F0C">
        <w:rPr>
          <w:rFonts w:ascii="Arial" w:eastAsia="Garamond" w:hAnsi="Arial" w:cs="Arial"/>
        </w:rPr>
        <w:t xml:space="preserve">l trabajo </w:t>
      </w:r>
      <w:r w:rsidRPr="00D22518">
        <w:rPr>
          <w:rFonts w:ascii="Arial" w:eastAsia="Garamond" w:hAnsi="Arial" w:cs="Arial"/>
          <w:i/>
        </w:rPr>
        <w:t>Cruzar el muro</w:t>
      </w:r>
      <w:r w:rsidRPr="00D22518">
        <w:rPr>
          <w:rFonts w:ascii="Arial" w:eastAsia="Garamond" w:hAnsi="Arial" w:cs="Arial"/>
        </w:rPr>
        <w:t>, nos permite proponer una forma de entender la externación, como un proceso necesariamente des-institucionalizador,</w:t>
      </w:r>
      <w:r w:rsidR="00A267A1">
        <w:rPr>
          <w:rFonts w:ascii="Arial" w:eastAsia="Garamond" w:hAnsi="Arial" w:cs="Arial"/>
        </w:rPr>
        <w:t xml:space="preserve"> también en el ámbito subjetivo.</w:t>
      </w:r>
      <w:r w:rsidRPr="00D22518">
        <w:rPr>
          <w:rFonts w:ascii="Arial" w:eastAsia="Garamond" w:hAnsi="Arial" w:cs="Arial"/>
        </w:rPr>
        <w:t xml:space="preserve"> </w:t>
      </w:r>
      <w:r w:rsidR="00A267A1">
        <w:rPr>
          <w:rFonts w:ascii="Arial" w:eastAsia="Garamond" w:hAnsi="Arial" w:cs="Arial"/>
        </w:rPr>
        <w:t>Q</w:t>
      </w:r>
      <w:r w:rsidRPr="00D22518">
        <w:rPr>
          <w:rFonts w:ascii="Arial" w:eastAsia="Garamond" w:hAnsi="Arial" w:cs="Arial"/>
        </w:rPr>
        <w:t xml:space="preserve">ue </w:t>
      </w:r>
      <w:r w:rsidR="00A267A1">
        <w:rPr>
          <w:rFonts w:ascii="Arial" w:eastAsia="Garamond" w:hAnsi="Arial" w:cs="Arial"/>
        </w:rPr>
        <w:t>debe tender a</w:t>
      </w:r>
      <w:r w:rsidRPr="00D22518">
        <w:rPr>
          <w:rFonts w:ascii="Arial" w:eastAsia="Garamond" w:hAnsi="Arial" w:cs="Arial"/>
        </w:rPr>
        <w:t xml:space="preserve"> revertir los daños generados por la cronificación</w:t>
      </w:r>
      <w:r w:rsidR="00A267A1">
        <w:rPr>
          <w:rFonts w:ascii="Arial" w:eastAsia="Garamond" w:hAnsi="Arial" w:cs="Arial"/>
        </w:rPr>
        <w:t xml:space="preserve"> del manicomio</w:t>
      </w:r>
      <w:r w:rsidRPr="00D22518">
        <w:rPr>
          <w:rFonts w:ascii="Arial" w:eastAsia="Garamond" w:hAnsi="Arial" w:cs="Arial"/>
        </w:rPr>
        <w:t xml:space="preserve">. La vuelta a la comunidad implica también </w:t>
      </w:r>
      <w:r w:rsidR="00A267A1">
        <w:rPr>
          <w:rFonts w:ascii="Arial" w:eastAsia="Garamond" w:hAnsi="Arial" w:cs="Arial"/>
        </w:rPr>
        <w:t>la</w:t>
      </w:r>
      <w:r w:rsidRPr="00D22518">
        <w:rPr>
          <w:rFonts w:ascii="Arial" w:eastAsia="Garamond" w:hAnsi="Arial" w:cs="Arial"/>
        </w:rPr>
        <w:t xml:space="preserve"> reincorporación a una vida digna, libre y en comunidad; </w:t>
      </w:r>
      <w:r w:rsidR="00DF1F0C">
        <w:rPr>
          <w:rFonts w:ascii="Arial" w:eastAsia="Garamond" w:hAnsi="Arial" w:cs="Arial"/>
        </w:rPr>
        <w:t xml:space="preserve">en articulación con </w:t>
      </w:r>
      <w:r w:rsidRPr="00D22518">
        <w:rPr>
          <w:rFonts w:ascii="Arial" w:eastAsia="Garamond" w:hAnsi="Arial" w:cs="Arial"/>
        </w:rPr>
        <w:t>un Estado que en el ejercicio de sus obligaciones prove</w:t>
      </w:r>
      <w:r w:rsidR="00DF1F0C">
        <w:rPr>
          <w:rFonts w:ascii="Arial" w:eastAsia="Garamond" w:hAnsi="Arial" w:cs="Arial"/>
        </w:rPr>
        <w:t>a</w:t>
      </w:r>
      <w:r w:rsidRPr="00D22518">
        <w:rPr>
          <w:rFonts w:ascii="Arial" w:eastAsia="Garamond" w:hAnsi="Arial" w:cs="Arial"/>
        </w:rPr>
        <w:t xml:space="preserve"> las condiciones materiales</w:t>
      </w:r>
      <w:r w:rsidR="00A267A1">
        <w:rPr>
          <w:rFonts w:ascii="Arial" w:eastAsia="Garamond" w:hAnsi="Arial" w:cs="Arial"/>
        </w:rPr>
        <w:t>, sociales</w:t>
      </w:r>
      <w:r w:rsidRPr="00D22518">
        <w:rPr>
          <w:rFonts w:ascii="Arial" w:eastAsia="Garamond" w:hAnsi="Arial" w:cs="Arial"/>
        </w:rPr>
        <w:t xml:space="preserve"> y humanas para que dicho proceso se desarrolle de forma sostenible.</w:t>
      </w:r>
    </w:p>
    <w:p w:rsidR="00216314" w:rsidRPr="00D22518" w:rsidRDefault="002331B4" w:rsidP="00D22518">
      <w:pPr>
        <w:pStyle w:val="normal0"/>
        <w:spacing w:line="360" w:lineRule="auto"/>
        <w:ind w:firstLine="708"/>
        <w:rPr>
          <w:rFonts w:ascii="Arial" w:eastAsia="Garamond" w:hAnsi="Arial" w:cs="Arial"/>
        </w:rPr>
      </w:pPr>
      <w:r w:rsidRPr="00D22518">
        <w:rPr>
          <w:rFonts w:ascii="Arial" w:eastAsia="Garamond" w:hAnsi="Arial" w:cs="Arial"/>
        </w:rPr>
        <w:t>El diseño e implementación de políticas públicas intersectoriales armónicamente coordinadas posibilitará la realización del</w:t>
      </w:r>
      <w:r w:rsidR="00216314" w:rsidRPr="00D22518">
        <w:rPr>
          <w:rFonts w:ascii="Arial" w:eastAsia="Garamond" w:hAnsi="Arial" w:cs="Arial"/>
        </w:rPr>
        <w:t xml:space="preserve"> </w:t>
      </w:r>
      <w:r w:rsidRPr="00D22518">
        <w:rPr>
          <w:rFonts w:ascii="Arial" w:eastAsia="Garamond" w:hAnsi="Arial" w:cs="Arial"/>
        </w:rPr>
        <w:t xml:space="preserve">modelo que la LNSM establece, evitando que se repitan las vulneraciones que ya han vivido las personas que ahora ameritan todo el apoyo para poder cruzar el muro </w:t>
      </w:r>
      <w:r w:rsidR="00A267A1">
        <w:rPr>
          <w:rFonts w:ascii="Arial" w:eastAsia="Garamond" w:hAnsi="Arial" w:cs="Arial"/>
        </w:rPr>
        <w:t xml:space="preserve">y salir </w:t>
      </w:r>
      <w:r w:rsidRPr="00D22518">
        <w:rPr>
          <w:rFonts w:ascii="Arial" w:eastAsia="Garamond" w:hAnsi="Arial" w:cs="Arial"/>
        </w:rPr>
        <w:t>del manicomio.</w:t>
      </w:r>
    </w:p>
    <w:sectPr w:rsidR="00216314" w:rsidRPr="00D22518" w:rsidSect="00066E69">
      <w:pgSz w:w="12240" w:h="15840"/>
      <w:pgMar w:top="1418" w:right="1418" w:bottom="1418" w:left="1418"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C40" w:rsidRDefault="004C1C40" w:rsidP="003643EF">
      <w:pPr>
        <w:spacing w:after="0"/>
      </w:pPr>
      <w:r>
        <w:separator/>
      </w:r>
    </w:p>
  </w:endnote>
  <w:endnote w:type="continuationSeparator" w:id="0">
    <w:p w:rsidR="004C1C40" w:rsidRDefault="004C1C40" w:rsidP="003643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C40" w:rsidRDefault="004C1C40" w:rsidP="003643EF">
      <w:pPr>
        <w:spacing w:after="0"/>
      </w:pPr>
      <w:r>
        <w:separator/>
      </w:r>
    </w:p>
  </w:footnote>
  <w:footnote w:type="continuationSeparator" w:id="0">
    <w:p w:rsidR="004C1C40" w:rsidRDefault="004C1C40" w:rsidP="003643EF">
      <w:pPr>
        <w:spacing w:after="0"/>
      </w:pPr>
      <w:r>
        <w:continuationSeparator/>
      </w:r>
    </w:p>
  </w:footnote>
  <w:footnote w:id="1">
    <w:p w:rsidR="00312A51" w:rsidRDefault="00312A51">
      <w:pPr>
        <w:pStyle w:val="Textonotapie"/>
      </w:pPr>
      <w:r>
        <w:rPr>
          <w:rStyle w:val="Refdenotaalpie"/>
        </w:rPr>
        <w:footnoteRef/>
      </w:r>
      <w:r>
        <w:t xml:space="preserve"> Versión digital en: </w:t>
      </w:r>
      <w:hyperlink r:id="rId1" w:history="1">
        <w:r w:rsidRPr="00F31A92">
          <w:rPr>
            <w:rStyle w:val="Hipervnculo"/>
          </w:rPr>
          <w:t>http://www.cels.org.ar/especiales/cruzarelmuro/</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75FA7"/>
    <w:multiLevelType w:val="hybridMultilevel"/>
    <w:tmpl w:val="FEDE3F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643EF"/>
    <w:rsid w:val="00001FD5"/>
    <w:rsid w:val="0002094C"/>
    <w:rsid w:val="00066E69"/>
    <w:rsid w:val="001005C6"/>
    <w:rsid w:val="00216314"/>
    <w:rsid w:val="002171CA"/>
    <w:rsid w:val="002331B4"/>
    <w:rsid w:val="00312A51"/>
    <w:rsid w:val="003445C9"/>
    <w:rsid w:val="00356275"/>
    <w:rsid w:val="003643EF"/>
    <w:rsid w:val="00365AA3"/>
    <w:rsid w:val="00376A98"/>
    <w:rsid w:val="00476040"/>
    <w:rsid w:val="00480CA2"/>
    <w:rsid w:val="004C1C40"/>
    <w:rsid w:val="00596E3B"/>
    <w:rsid w:val="00670AB5"/>
    <w:rsid w:val="00721AC1"/>
    <w:rsid w:val="00754578"/>
    <w:rsid w:val="00786844"/>
    <w:rsid w:val="00786C7D"/>
    <w:rsid w:val="00886B63"/>
    <w:rsid w:val="00905090"/>
    <w:rsid w:val="00923E14"/>
    <w:rsid w:val="009B338A"/>
    <w:rsid w:val="009D216F"/>
    <w:rsid w:val="00A078E5"/>
    <w:rsid w:val="00A267A1"/>
    <w:rsid w:val="00B33CA9"/>
    <w:rsid w:val="00C463DF"/>
    <w:rsid w:val="00CC23AE"/>
    <w:rsid w:val="00D02974"/>
    <w:rsid w:val="00D22518"/>
    <w:rsid w:val="00D44901"/>
    <w:rsid w:val="00D922CA"/>
    <w:rsid w:val="00DC7B31"/>
    <w:rsid w:val="00DF1F0C"/>
    <w:rsid w:val="00E3407B"/>
    <w:rsid w:val="00F711AB"/>
    <w:rsid w:val="00F7754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color w:val="000000"/>
      <w:sz w:val="22"/>
      <w:szCs w:val="22"/>
    </w:rPr>
  </w:style>
  <w:style w:type="paragraph" w:styleId="Ttulo1">
    <w:name w:val="heading 1"/>
    <w:basedOn w:val="normal0"/>
    <w:next w:val="normal0"/>
    <w:rsid w:val="003643EF"/>
    <w:pPr>
      <w:keepNext/>
      <w:keepLines/>
      <w:spacing w:before="480" w:after="120"/>
      <w:contextualSpacing/>
      <w:outlineLvl w:val="0"/>
    </w:pPr>
    <w:rPr>
      <w:b/>
      <w:sz w:val="48"/>
      <w:szCs w:val="48"/>
    </w:rPr>
  </w:style>
  <w:style w:type="paragraph" w:styleId="Ttulo2">
    <w:name w:val="heading 2"/>
    <w:basedOn w:val="normal0"/>
    <w:next w:val="normal0"/>
    <w:rsid w:val="003643EF"/>
    <w:pPr>
      <w:keepNext/>
      <w:keepLines/>
      <w:spacing w:before="360" w:after="80"/>
      <w:contextualSpacing/>
      <w:outlineLvl w:val="1"/>
    </w:pPr>
    <w:rPr>
      <w:b/>
      <w:sz w:val="36"/>
      <w:szCs w:val="36"/>
    </w:rPr>
  </w:style>
  <w:style w:type="paragraph" w:styleId="Ttulo3">
    <w:name w:val="heading 3"/>
    <w:basedOn w:val="normal0"/>
    <w:next w:val="normal0"/>
    <w:rsid w:val="003643EF"/>
    <w:pPr>
      <w:keepNext/>
      <w:keepLines/>
      <w:spacing w:before="280" w:after="80"/>
      <w:contextualSpacing/>
      <w:outlineLvl w:val="2"/>
    </w:pPr>
    <w:rPr>
      <w:b/>
      <w:sz w:val="28"/>
      <w:szCs w:val="28"/>
    </w:rPr>
  </w:style>
  <w:style w:type="paragraph" w:styleId="Ttulo4">
    <w:name w:val="heading 4"/>
    <w:basedOn w:val="normal0"/>
    <w:next w:val="normal0"/>
    <w:rsid w:val="003643EF"/>
    <w:pPr>
      <w:keepNext/>
      <w:keepLines/>
      <w:spacing w:before="240" w:after="40"/>
      <w:contextualSpacing/>
      <w:outlineLvl w:val="3"/>
    </w:pPr>
    <w:rPr>
      <w:b/>
      <w:sz w:val="24"/>
      <w:szCs w:val="24"/>
    </w:rPr>
  </w:style>
  <w:style w:type="paragraph" w:styleId="Ttulo5">
    <w:name w:val="heading 5"/>
    <w:basedOn w:val="normal0"/>
    <w:next w:val="normal0"/>
    <w:rsid w:val="003643EF"/>
    <w:pPr>
      <w:keepNext/>
      <w:keepLines/>
      <w:spacing w:before="220" w:after="40"/>
      <w:contextualSpacing/>
      <w:outlineLvl w:val="4"/>
    </w:pPr>
    <w:rPr>
      <w:b/>
    </w:rPr>
  </w:style>
  <w:style w:type="paragraph" w:styleId="Ttulo6">
    <w:name w:val="heading 6"/>
    <w:basedOn w:val="normal0"/>
    <w:next w:val="normal0"/>
    <w:rsid w:val="003643EF"/>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3643EF"/>
    <w:pPr>
      <w:spacing w:after="200"/>
      <w:jc w:val="both"/>
    </w:pPr>
    <w:rPr>
      <w:color w:val="000000"/>
      <w:sz w:val="22"/>
      <w:szCs w:val="22"/>
    </w:rPr>
  </w:style>
  <w:style w:type="table" w:customStyle="1" w:styleId="TableNormal">
    <w:name w:val="Table Normal"/>
    <w:rsid w:val="003643EF"/>
    <w:pPr>
      <w:spacing w:after="200"/>
      <w:jc w:val="both"/>
    </w:pPr>
    <w:rPr>
      <w:color w:val="000000"/>
      <w:sz w:val="22"/>
      <w:szCs w:val="22"/>
    </w:rPr>
    <w:tblPr>
      <w:tblCellMar>
        <w:top w:w="0" w:type="dxa"/>
        <w:left w:w="0" w:type="dxa"/>
        <w:bottom w:w="0" w:type="dxa"/>
        <w:right w:w="0" w:type="dxa"/>
      </w:tblCellMar>
    </w:tblPr>
  </w:style>
  <w:style w:type="paragraph" w:styleId="Ttulo">
    <w:name w:val="Title"/>
    <w:basedOn w:val="normal0"/>
    <w:next w:val="normal0"/>
    <w:rsid w:val="003643EF"/>
    <w:pPr>
      <w:keepNext/>
      <w:keepLines/>
      <w:spacing w:before="480" w:after="120"/>
      <w:contextualSpacing/>
    </w:pPr>
    <w:rPr>
      <w:b/>
      <w:sz w:val="72"/>
      <w:szCs w:val="72"/>
    </w:rPr>
  </w:style>
  <w:style w:type="paragraph" w:styleId="Subttulo">
    <w:name w:val="Subtitle"/>
    <w:basedOn w:val="normal0"/>
    <w:next w:val="normal0"/>
    <w:rsid w:val="003643EF"/>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3643EF"/>
    <w:rPr>
      <w:sz w:val="20"/>
      <w:szCs w:val="20"/>
    </w:rPr>
  </w:style>
  <w:style w:type="character" w:customStyle="1" w:styleId="TextocomentarioCar">
    <w:name w:val="Texto comentario Car"/>
    <w:basedOn w:val="Fuentedeprrafopredeter"/>
    <w:link w:val="Textocomentario"/>
    <w:uiPriority w:val="99"/>
    <w:semiHidden/>
    <w:rsid w:val="003643EF"/>
    <w:rPr>
      <w:sz w:val="20"/>
      <w:szCs w:val="20"/>
    </w:rPr>
  </w:style>
  <w:style w:type="character" w:styleId="Refdecomentario">
    <w:name w:val="annotation reference"/>
    <w:basedOn w:val="Fuentedeprrafopredeter"/>
    <w:uiPriority w:val="99"/>
    <w:semiHidden/>
    <w:unhideWhenUsed/>
    <w:rsid w:val="003643EF"/>
    <w:rPr>
      <w:sz w:val="16"/>
      <w:szCs w:val="16"/>
    </w:rPr>
  </w:style>
  <w:style w:type="paragraph" w:styleId="Textodeglobo">
    <w:name w:val="Balloon Text"/>
    <w:basedOn w:val="Normal"/>
    <w:link w:val="TextodegloboCar"/>
    <w:uiPriority w:val="99"/>
    <w:semiHidden/>
    <w:unhideWhenUsed/>
    <w:rsid w:val="0075457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578"/>
    <w:rPr>
      <w:rFonts w:ascii="Tahoma" w:hAnsi="Tahoma" w:cs="Tahoma"/>
      <w:color w:val="000000"/>
      <w:sz w:val="16"/>
      <w:szCs w:val="16"/>
    </w:rPr>
  </w:style>
  <w:style w:type="character" w:customStyle="1" w:styleId="apple-converted-space">
    <w:name w:val="apple-converted-space"/>
    <w:basedOn w:val="Fuentedeprrafopredeter"/>
    <w:rsid w:val="00E3407B"/>
  </w:style>
  <w:style w:type="character" w:customStyle="1" w:styleId="il">
    <w:name w:val="il"/>
    <w:basedOn w:val="Fuentedeprrafopredeter"/>
    <w:rsid w:val="00E3407B"/>
  </w:style>
  <w:style w:type="paragraph" w:styleId="NormalWeb">
    <w:name w:val="Normal (Web)"/>
    <w:basedOn w:val="Normal"/>
    <w:uiPriority w:val="99"/>
    <w:semiHidden/>
    <w:unhideWhenUsed/>
    <w:rsid w:val="00C463DF"/>
    <w:pPr>
      <w:spacing w:before="100" w:beforeAutospacing="1" w:after="100" w:afterAutospacing="1"/>
      <w:jc w:val="left"/>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3445C9"/>
    <w:rPr>
      <w:color w:val="0000FF"/>
      <w:u w:val="single"/>
    </w:rPr>
  </w:style>
  <w:style w:type="paragraph" w:styleId="Textonotapie">
    <w:name w:val="footnote text"/>
    <w:basedOn w:val="Normal"/>
    <w:link w:val="TextonotapieCar"/>
    <w:uiPriority w:val="99"/>
    <w:semiHidden/>
    <w:unhideWhenUsed/>
    <w:rsid w:val="00312A51"/>
    <w:rPr>
      <w:sz w:val="20"/>
      <w:szCs w:val="20"/>
    </w:rPr>
  </w:style>
  <w:style w:type="character" w:customStyle="1" w:styleId="TextonotapieCar">
    <w:name w:val="Texto nota pie Car"/>
    <w:basedOn w:val="Fuentedeprrafopredeter"/>
    <w:link w:val="Textonotapie"/>
    <w:uiPriority w:val="99"/>
    <w:semiHidden/>
    <w:rsid w:val="00312A51"/>
    <w:rPr>
      <w:color w:val="000000"/>
    </w:rPr>
  </w:style>
  <w:style w:type="character" w:styleId="Refdenotaalpie">
    <w:name w:val="footnote reference"/>
    <w:basedOn w:val="Fuentedeprrafopredeter"/>
    <w:uiPriority w:val="99"/>
    <w:semiHidden/>
    <w:unhideWhenUsed/>
    <w:rsid w:val="00312A51"/>
    <w:rPr>
      <w:vertAlign w:val="superscript"/>
    </w:rPr>
  </w:style>
</w:styles>
</file>

<file path=word/webSettings.xml><?xml version="1.0" encoding="utf-8"?>
<w:webSettings xmlns:r="http://schemas.openxmlformats.org/officeDocument/2006/relationships" xmlns:w="http://schemas.openxmlformats.org/wordprocessingml/2006/main">
  <w:divs>
    <w:div w:id="33585515">
      <w:bodyDiv w:val="1"/>
      <w:marLeft w:val="0"/>
      <w:marRight w:val="0"/>
      <w:marTop w:val="0"/>
      <w:marBottom w:val="0"/>
      <w:divBdr>
        <w:top w:val="none" w:sz="0" w:space="0" w:color="auto"/>
        <w:left w:val="none" w:sz="0" w:space="0" w:color="auto"/>
        <w:bottom w:val="none" w:sz="0" w:space="0" w:color="auto"/>
        <w:right w:val="none" w:sz="0" w:space="0" w:color="auto"/>
      </w:divBdr>
    </w:div>
    <w:div w:id="423381736">
      <w:bodyDiv w:val="1"/>
      <w:marLeft w:val="0"/>
      <w:marRight w:val="0"/>
      <w:marTop w:val="0"/>
      <w:marBottom w:val="0"/>
      <w:divBdr>
        <w:top w:val="none" w:sz="0" w:space="0" w:color="auto"/>
        <w:left w:val="none" w:sz="0" w:space="0" w:color="auto"/>
        <w:bottom w:val="none" w:sz="0" w:space="0" w:color="auto"/>
        <w:right w:val="none" w:sz="0" w:space="0" w:color="auto"/>
      </w:divBdr>
      <w:divsChild>
        <w:div w:id="21019271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968462424">
              <w:marLeft w:val="0"/>
              <w:marRight w:val="0"/>
              <w:marTop w:val="0"/>
              <w:marBottom w:val="0"/>
              <w:divBdr>
                <w:top w:val="none" w:sz="0" w:space="0" w:color="auto"/>
                <w:left w:val="none" w:sz="0" w:space="0" w:color="auto"/>
                <w:bottom w:val="none" w:sz="0" w:space="0" w:color="auto"/>
                <w:right w:val="none" w:sz="0" w:space="0" w:color="auto"/>
              </w:divBdr>
              <w:divsChild>
                <w:div w:id="529104279">
                  <w:marLeft w:val="0"/>
                  <w:marRight w:val="0"/>
                  <w:marTop w:val="0"/>
                  <w:marBottom w:val="0"/>
                  <w:divBdr>
                    <w:top w:val="none" w:sz="0" w:space="0" w:color="auto"/>
                    <w:left w:val="none" w:sz="0" w:space="0" w:color="auto"/>
                    <w:bottom w:val="none" w:sz="0" w:space="0" w:color="auto"/>
                    <w:right w:val="none" w:sz="0" w:space="0" w:color="auto"/>
                  </w:divBdr>
                </w:div>
                <w:div w:id="843401816">
                  <w:marLeft w:val="0"/>
                  <w:marRight w:val="0"/>
                  <w:marTop w:val="0"/>
                  <w:marBottom w:val="0"/>
                  <w:divBdr>
                    <w:top w:val="none" w:sz="0" w:space="0" w:color="auto"/>
                    <w:left w:val="none" w:sz="0" w:space="0" w:color="auto"/>
                    <w:bottom w:val="none" w:sz="0" w:space="0" w:color="auto"/>
                    <w:right w:val="none" w:sz="0" w:space="0" w:color="auto"/>
                  </w:divBdr>
                </w:div>
                <w:div w:id="1772698965">
                  <w:marLeft w:val="0"/>
                  <w:marRight w:val="0"/>
                  <w:marTop w:val="0"/>
                  <w:marBottom w:val="0"/>
                  <w:divBdr>
                    <w:top w:val="none" w:sz="0" w:space="0" w:color="auto"/>
                    <w:left w:val="none" w:sz="0" w:space="0" w:color="auto"/>
                    <w:bottom w:val="none" w:sz="0" w:space="0" w:color="auto"/>
                    <w:right w:val="none" w:sz="0" w:space="0" w:color="auto"/>
                  </w:divBdr>
                  <w:divsChild>
                    <w:div w:id="693116355">
                      <w:marLeft w:val="0"/>
                      <w:marRight w:val="0"/>
                      <w:marTop w:val="0"/>
                      <w:marBottom w:val="0"/>
                      <w:divBdr>
                        <w:top w:val="none" w:sz="0" w:space="0" w:color="auto"/>
                        <w:left w:val="none" w:sz="0" w:space="0" w:color="auto"/>
                        <w:bottom w:val="none" w:sz="0" w:space="0" w:color="auto"/>
                        <w:right w:val="none" w:sz="0" w:space="0" w:color="auto"/>
                      </w:divBdr>
                    </w:div>
                    <w:div w:id="10683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45417">
          <w:marLeft w:val="0"/>
          <w:marRight w:val="0"/>
          <w:marTop w:val="0"/>
          <w:marBottom w:val="0"/>
          <w:divBdr>
            <w:top w:val="none" w:sz="0" w:space="0" w:color="auto"/>
            <w:left w:val="none" w:sz="0" w:space="0" w:color="auto"/>
            <w:bottom w:val="none" w:sz="0" w:space="0" w:color="auto"/>
            <w:right w:val="none" w:sz="0" w:space="0" w:color="auto"/>
          </w:divBdr>
        </w:div>
        <w:div w:id="205330920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30889593">
              <w:marLeft w:val="0"/>
              <w:marRight w:val="0"/>
              <w:marTop w:val="0"/>
              <w:marBottom w:val="0"/>
              <w:divBdr>
                <w:top w:val="none" w:sz="0" w:space="0" w:color="auto"/>
                <w:left w:val="none" w:sz="0" w:space="0" w:color="auto"/>
                <w:bottom w:val="none" w:sz="0" w:space="0" w:color="auto"/>
                <w:right w:val="none" w:sz="0" w:space="0" w:color="auto"/>
              </w:divBdr>
              <w:divsChild>
                <w:div w:id="11480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1737">
      <w:bodyDiv w:val="1"/>
      <w:marLeft w:val="0"/>
      <w:marRight w:val="0"/>
      <w:marTop w:val="0"/>
      <w:marBottom w:val="0"/>
      <w:divBdr>
        <w:top w:val="none" w:sz="0" w:space="0" w:color="auto"/>
        <w:left w:val="none" w:sz="0" w:space="0" w:color="auto"/>
        <w:bottom w:val="none" w:sz="0" w:space="0" w:color="auto"/>
        <w:right w:val="none" w:sz="0" w:space="0" w:color="auto"/>
      </w:divBdr>
      <w:divsChild>
        <w:div w:id="733968133">
          <w:marLeft w:val="0"/>
          <w:marRight w:val="0"/>
          <w:marTop w:val="0"/>
          <w:marBottom w:val="0"/>
          <w:divBdr>
            <w:top w:val="none" w:sz="0" w:space="0" w:color="auto"/>
            <w:left w:val="none" w:sz="0" w:space="0" w:color="auto"/>
            <w:bottom w:val="none" w:sz="0" w:space="0" w:color="auto"/>
            <w:right w:val="none" w:sz="0" w:space="0" w:color="auto"/>
          </w:divBdr>
        </w:div>
        <w:div w:id="1455293528">
          <w:marLeft w:val="0"/>
          <w:marRight w:val="0"/>
          <w:marTop w:val="0"/>
          <w:marBottom w:val="0"/>
          <w:divBdr>
            <w:top w:val="none" w:sz="0" w:space="0" w:color="auto"/>
            <w:left w:val="none" w:sz="0" w:space="0" w:color="auto"/>
            <w:bottom w:val="none" w:sz="0" w:space="0" w:color="auto"/>
            <w:right w:val="none" w:sz="0" w:space="0" w:color="auto"/>
          </w:divBdr>
        </w:div>
        <w:div w:id="1763601385">
          <w:marLeft w:val="0"/>
          <w:marRight w:val="0"/>
          <w:marTop w:val="0"/>
          <w:marBottom w:val="0"/>
          <w:divBdr>
            <w:top w:val="none" w:sz="0" w:space="0" w:color="auto"/>
            <w:left w:val="none" w:sz="0" w:space="0" w:color="auto"/>
            <w:bottom w:val="none" w:sz="0" w:space="0" w:color="auto"/>
            <w:right w:val="none" w:sz="0" w:space="0" w:color="auto"/>
          </w:divBdr>
          <w:divsChild>
            <w:div w:id="85344657">
              <w:marLeft w:val="0"/>
              <w:marRight w:val="0"/>
              <w:marTop w:val="0"/>
              <w:marBottom w:val="0"/>
              <w:divBdr>
                <w:top w:val="none" w:sz="0" w:space="0" w:color="auto"/>
                <w:left w:val="none" w:sz="0" w:space="0" w:color="auto"/>
                <w:bottom w:val="none" w:sz="0" w:space="0" w:color="auto"/>
                <w:right w:val="none" w:sz="0" w:space="0" w:color="auto"/>
              </w:divBdr>
            </w:div>
            <w:div w:id="502360067">
              <w:marLeft w:val="0"/>
              <w:marRight w:val="0"/>
              <w:marTop w:val="0"/>
              <w:marBottom w:val="0"/>
              <w:divBdr>
                <w:top w:val="none" w:sz="0" w:space="0" w:color="auto"/>
                <w:left w:val="none" w:sz="0" w:space="0" w:color="auto"/>
                <w:bottom w:val="none" w:sz="0" w:space="0" w:color="auto"/>
                <w:right w:val="none" w:sz="0" w:space="0" w:color="auto"/>
              </w:divBdr>
            </w:div>
            <w:div w:id="748381344">
              <w:marLeft w:val="0"/>
              <w:marRight w:val="0"/>
              <w:marTop w:val="0"/>
              <w:marBottom w:val="0"/>
              <w:divBdr>
                <w:top w:val="none" w:sz="0" w:space="0" w:color="auto"/>
                <w:left w:val="none" w:sz="0" w:space="0" w:color="auto"/>
                <w:bottom w:val="none" w:sz="0" w:space="0" w:color="auto"/>
                <w:right w:val="none" w:sz="0" w:space="0" w:color="auto"/>
              </w:divBdr>
            </w:div>
            <w:div w:id="19715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abinpaz@cels.org.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rodriguez@cels.org.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ls.org.ar/especiales/cruzarelmu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9E7A-F829-4C53-8132-37DFF8F0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CharactersWithSpaces>
  <SharedDoc>false</SharedDoc>
  <HLinks>
    <vt:vector size="18" baseType="variant">
      <vt:variant>
        <vt:i4>3407943</vt:i4>
      </vt:variant>
      <vt:variant>
        <vt:i4>3</vt:i4>
      </vt:variant>
      <vt:variant>
        <vt:i4>0</vt:i4>
      </vt:variant>
      <vt:variant>
        <vt:i4>5</vt:i4>
      </vt:variant>
      <vt:variant>
        <vt:lpwstr>mailto:vrodriguez@cels.org.ar</vt:lpwstr>
      </vt:variant>
      <vt:variant>
        <vt:lpwstr/>
      </vt:variant>
      <vt:variant>
        <vt:i4>131179</vt:i4>
      </vt:variant>
      <vt:variant>
        <vt:i4>0</vt:i4>
      </vt:variant>
      <vt:variant>
        <vt:i4>0</vt:i4>
      </vt:variant>
      <vt:variant>
        <vt:i4>5</vt:i4>
      </vt:variant>
      <vt:variant>
        <vt:lpwstr>mailto:msabinpaz@cels.org.ar</vt:lpwstr>
      </vt:variant>
      <vt:variant>
        <vt:lpwstr/>
      </vt:variant>
      <vt:variant>
        <vt:i4>7667821</vt:i4>
      </vt:variant>
      <vt:variant>
        <vt:i4>0</vt:i4>
      </vt:variant>
      <vt:variant>
        <vt:i4>0</vt:i4>
      </vt:variant>
      <vt:variant>
        <vt:i4>5</vt:i4>
      </vt:variant>
      <vt:variant>
        <vt:lpwstr>http://www.cels.org.ar/especiales/cruzarelmuro/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CELS</dc:creator>
  <cp:lastModifiedBy>Víctor Manuel</cp:lastModifiedBy>
  <cp:revision>2</cp:revision>
  <cp:lastPrinted>2015-08-18T18:53:00Z</cp:lastPrinted>
  <dcterms:created xsi:type="dcterms:W3CDTF">2016-02-26T18:38:00Z</dcterms:created>
  <dcterms:modified xsi:type="dcterms:W3CDTF">2016-02-26T18:38:00Z</dcterms:modified>
</cp:coreProperties>
</file>