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65263" w:rsidRDefault="00465263">
      <w:pPr>
        <w:spacing w:after="200"/>
        <w:jc w:val="both"/>
        <w:rPr>
          <w:sz w:val="24"/>
          <w:szCs w:val="24"/>
          <w:highlight w:val="yellow"/>
        </w:rPr>
      </w:pPr>
      <w:bookmarkStart w:id="0" w:name="_GoBack"/>
      <w:bookmarkEnd w:id="0"/>
    </w:p>
    <w:p w14:paraId="00000002" w14:textId="77777777" w:rsidR="00465263" w:rsidRDefault="00323EC2">
      <w:pPr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CLASE 3 </w:t>
      </w:r>
      <w:r>
        <w:rPr>
          <w:sz w:val="24"/>
          <w:szCs w:val="24"/>
        </w:rPr>
        <w:t xml:space="preserve">- La desigualdad de género en escena. Patrones culturales que sustentan la desigualdad de género: Androcentrismo, machismo/sexismo, </w:t>
      </w:r>
      <w:proofErr w:type="spellStart"/>
      <w:r>
        <w:rPr>
          <w:sz w:val="24"/>
          <w:szCs w:val="24"/>
        </w:rPr>
        <w:t>adultocentrismo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heteronormatividad</w:t>
      </w:r>
      <w:proofErr w:type="spellEnd"/>
      <w:r>
        <w:rPr>
          <w:sz w:val="24"/>
          <w:szCs w:val="24"/>
        </w:rPr>
        <w:t>. Efectos de la desigualdad de género en la vida cotidiana. Perspectiva de género y</w:t>
      </w:r>
      <w:r>
        <w:rPr>
          <w:sz w:val="24"/>
          <w:szCs w:val="24"/>
        </w:rPr>
        <w:t xml:space="preserve"> diversidad como herramientas de defensa de los derechos. Niño, niña, </w:t>
      </w:r>
      <w:proofErr w:type="spellStart"/>
      <w:r>
        <w:rPr>
          <w:sz w:val="24"/>
          <w:szCs w:val="24"/>
        </w:rPr>
        <w:t>niñe</w:t>
      </w:r>
      <w:proofErr w:type="spellEnd"/>
      <w:r>
        <w:rPr>
          <w:sz w:val="24"/>
          <w:szCs w:val="24"/>
        </w:rPr>
        <w:t xml:space="preserve">, sujetos de derechos. El derecho a vidas libre de violencia y discriminación. </w:t>
      </w:r>
    </w:p>
    <w:p w14:paraId="00000003" w14:textId="77777777" w:rsidR="00465263" w:rsidRDefault="00323EC2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Bibliografía</w:t>
      </w:r>
    </w:p>
    <w:p w14:paraId="00000004" w14:textId="77777777" w:rsidR="00465263" w:rsidRDefault="00323EC2">
      <w:pPr>
        <w:spacing w:after="20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MORGADE, G. “Toda educación es sexual” </w:t>
      </w:r>
      <w:hyperlink r:id="rId5">
        <w:r>
          <w:rPr>
            <w:color w:val="1155CC"/>
            <w:sz w:val="24"/>
            <w:szCs w:val="24"/>
            <w:u w:val="single"/>
          </w:rPr>
          <w:t>http://www.edumargen.org/docs/curso25-6/unid04/apunte03_04.pdf</w:t>
        </w:r>
      </w:hyperlink>
    </w:p>
    <w:p w14:paraId="00000005" w14:textId="77777777" w:rsidR="00465263" w:rsidRDefault="00323EC2">
      <w:pPr>
        <w:spacing w:after="200"/>
        <w:jc w:val="both"/>
        <w:rPr>
          <w:sz w:val="24"/>
          <w:szCs w:val="24"/>
        </w:rPr>
      </w:pPr>
      <w:r>
        <w:rPr>
          <w:b/>
          <w:sz w:val="24"/>
          <w:szCs w:val="24"/>
        </w:rPr>
        <w:t>Fragmentos sobre género y diversidad sexual</w:t>
      </w:r>
      <w:r>
        <w:rPr>
          <w:b/>
          <w:sz w:val="24"/>
          <w:szCs w:val="24"/>
        </w:rPr>
        <w:br/>
      </w:r>
      <w:hyperlink r:id="rId6">
        <w:r>
          <w:rPr>
            <w:color w:val="1155CC"/>
            <w:sz w:val="24"/>
            <w:szCs w:val="24"/>
            <w:u w:val="single"/>
          </w:rPr>
          <w:t>https://www.youtube.com/watch?v=OyjTHLnVEpM</w:t>
        </w:r>
      </w:hyperlink>
      <w:r>
        <w:rPr>
          <w:sz w:val="24"/>
          <w:szCs w:val="24"/>
        </w:rPr>
        <w:t xml:space="preserve"> </w:t>
      </w:r>
    </w:p>
    <w:p w14:paraId="00000006" w14:textId="77777777" w:rsidR="00465263" w:rsidRDefault="00323EC2">
      <w:pPr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</w:t>
      </w:r>
      <w:r>
        <w:rPr>
          <w:b/>
          <w:sz w:val="24"/>
          <w:szCs w:val="24"/>
        </w:rPr>
        <w:t>fía complementaria</w:t>
      </w:r>
    </w:p>
    <w:p w14:paraId="00000007" w14:textId="77777777" w:rsidR="00465263" w:rsidRDefault="00323EC2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FLORES, V. (2015) “ESI: esa sexualidad ingobernable. El reto de des-</w:t>
      </w:r>
      <w:proofErr w:type="spellStart"/>
      <w:r>
        <w:rPr>
          <w:sz w:val="24"/>
          <w:szCs w:val="24"/>
        </w:rPr>
        <w:t>heterosexualizarla</w:t>
      </w:r>
      <w:proofErr w:type="spellEnd"/>
      <w:r>
        <w:rPr>
          <w:sz w:val="24"/>
          <w:szCs w:val="24"/>
        </w:rPr>
        <w:t xml:space="preserve"> pedagogía”. Degenerando Buenos Aires. III Jornadas Interdisciplinarias de Géneros y Disidencia Sexual, mayo 2015. Disponible en: </w:t>
      </w:r>
      <w:hyperlink r:id="rId7">
        <w:r>
          <w:rPr>
            <w:color w:val="1155CC"/>
            <w:sz w:val="24"/>
            <w:szCs w:val="24"/>
            <w:u w:val="single"/>
          </w:rPr>
          <w:t>https://drive.google.com/file/d/0B6c50cj7OLy8c016YkJMTzRkcmM/view</w:t>
        </w:r>
      </w:hyperlink>
    </w:p>
    <w:p w14:paraId="00000008" w14:textId="77777777" w:rsidR="00465263" w:rsidRDefault="00323EC2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BRINGIOTT, M.I. (2015): Violencias en la Escuela: nuevos problemas, diferentes intervenciones, Buenos Aires, Paidós.</w:t>
      </w:r>
    </w:p>
    <w:p w14:paraId="00000009" w14:textId="77777777" w:rsidR="00465263" w:rsidRDefault="00323EC2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MORGADE, </w:t>
      </w:r>
      <w:r>
        <w:rPr>
          <w:sz w:val="24"/>
          <w:szCs w:val="24"/>
        </w:rPr>
        <w:t xml:space="preserve">G. A doce años de la Ley de Educación Sexual Integral. Las políticas, El movimiento pedagógico y el discurso anti ESI recargado. Observatorio Participativo de Políticas Públicas en Educación, Buenos Aires, 2018. Disponible en: </w:t>
      </w:r>
      <w:hyperlink r:id="rId8">
        <w:r>
          <w:rPr>
            <w:color w:val="1155CC"/>
            <w:sz w:val="24"/>
            <w:szCs w:val="24"/>
            <w:u w:val="single"/>
          </w:rPr>
          <w:t>http://iice.institutos.filo.uba.ar/doce-a%c3%b1os-de-la-ley-de-educaci%c3%b3n-sexualintegral-las-pol%c3%adticas-el-mov</w:t>
        </w:r>
        <w:r>
          <w:rPr>
            <w:color w:val="1155CC"/>
            <w:sz w:val="24"/>
            <w:szCs w:val="24"/>
            <w:u w:val="single"/>
          </w:rPr>
          <w:t xml:space="preserve">imiento-pedag%c3%b3gico-y-el. </w:t>
        </w:r>
      </w:hyperlink>
      <w:r>
        <w:rPr>
          <w:sz w:val="24"/>
          <w:szCs w:val="24"/>
        </w:rPr>
        <w:t>Accedido el: 14 sept. 2020.</w:t>
      </w:r>
    </w:p>
    <w:p w14:paraId="0000000A" w14:textId="77777777" w:rsidR="00465263" w:rsidRDefault="00465263"/>
    <w:sectPr w:rsidR="004652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65263"/>
    <w:rsid w:val="00323EC2"/>
    <w:rsid w:val="0046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ce.institutos.filo.uba.ar/doce-a%c3%b1os-de-la-ley-de-educaci%c3%b3n-sexualintegral-las-pol%c3%adticas-el-movimiento-pedag%c3%b3gico-y-el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6c50cj7OLy8c016YkJMTzRkcmM/vi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yjTHLnVEpM" TargetMode="External"/><Relationship Id="rId5" Type="http://schemas.openxmlformats.org/officeDocument/2006/relationships/hyperlink" Target="http://www.edumargen.org/docs/curso25-6/unid04/apunte03_0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</dc:creator>
  <cp:lastModifiedBy>alonso.marisai@gmail.com</cp:lastModifiedBy>
  <cp:revision>2</cp:revision>
  <dcterms:created xsi:type="dcterms:W3CDTF">2022-08-15T14:25:00Z</dcterms:created>
  <dcterms:modified xsi:type="dcterms:W3CDTF">2022-08-15T14:25:00Z</dcterms:modified>
</cp:coreProperties>
</file>